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12" w:rsidRPr="0048426C" w:rsidRDefault="00676613" w:rsidP="00476912">
      <w:pPr>
        <w:numPr>
          <w:ilvl w:val="0"/>
          <w:numId w:val="1"/>
        </w:numPr>
        <w:rPr>
          <w:rFonts w:ascii="DIN Mittelschrift Std" w:hAnsi="DIN Mittelschrift Std"/>
          <w:noProof/>
          <w:sz w:val="100"/>
          <w:szCs w:val="100"/>
        </w:rPr>
      </w:pPr>
      <w:r>
        <w:rPr>
          <w:rFonts w:ascii="DIN Mittelschrift Std" w:hAnsi="DIN Mittelschrift Std"/>
          <w:noProof/>
          <w:sz w:val="100"/>
          <w:szCs w:val="100"/>
        </w:rPr>
        <w:t xml:space="preserve"> </w:t>
      </w:r>
      <w:r w:rsidR="00476912">
        <w:rPr>
          <w:rFonts w:ascii="DIN Mittelschrift Std" w:hAnsi="DIN Mittelschrift Std"/>
          <w:noProof/>
          <w:sz w:val="100"/>
          <w:szCs w:val="100"/>
        </w:rPr>
        <w:t xml:space="preserve">       </w:t>
      </w:r>
    </w:p>
    <w:p w:rsidR="00CC3F38" w:rsidRDefault="00CC3F38" w:rsidP="00476912">
      <w:pPr>
        <w:pStyle w:val="ldpealkirjaalapealkiri"/>
        <w:rPr>
          <w:b/>
        </w:rPr>
      </w:pPr>
    </w:p>
    <w:p w:rsidR="003A221A" w:rsidRDefault="003A221A" w:rsidP="00476912">
      <w:pPr>
        <w:pStyle w:val="ldpealkirjaalapealkiri"/>
        <w:rPr>
          <w:b/>
        </w:rPr>
      </w:pPr>
    </w:p>
    <w:p w:rsidR="003A221A" w:rsidRDefault="003A221A" w:rsidP="00476912">
      <w:pPr>
        <w:pStyle w:val="ldpealkirjaalapealkiri"/>
        <w:rPr>
          <w:b/>
        </w:rPr>
      </w:pPr>
    </w:p>
    <w:p w:rsidR="003E19B5" w:rsidRDefault="003E19B5" w:rsidP="00476912">
      <w:pPr>
        <w:pStyle w:val="ldpealkirjaalapealkiri"/>
        <w:rPr>
          <w:b/>
        </w:rPr>
      </w:pPr>
    </w:p>
    <w:p w:rsidR="003E19B5" w:rsidRDefault="003E19B5" w:rsidP="00476912">
      <w:pPr>
        <w:pStyle w:val="ldpealkirjaalapealkiri"/>
        <w:rPr>
          <w:b/>
        </w:rPr>
      </w:pPr>
    </w:p>
    <w:p w:rsidR="006F4FB8" w:rsidRDefault="006F4FB8" w:rsidP="003E19B5">
      <w:pPr>
        <w:pStyle w:val="Heading1"/>
        <w:spacing w:after="360" w:line="360" w:lineRule="auto"/>
        <w:jc w:val="center"/>
        <w:rPr>
          <w:kern w:val="0"/>
          <w:sz w:val="40"/>
          <w:szCs w:val="40"/>
        </w:rPr>
      </w:pPr>
    </w:p>
    <w:p w:rsidR="00E70D8B" w:rsidRDefault="003E19B5" w:rsidP="003E19B5">
      <w:pPr>
        <w:pStyle w:val="Heading1"/>
        <w:spacing w:after="360" w:line="360" w:lineRule="auto"/>
        <w:jc w:val="center"/>
        <w:rPr>
          <w:kern w:val="0"/>
          <w:sz w:val="40"/>
          <w:szCs w:val="40"/>
        </w:rPr>
      </w:pPr>
      <w:r w:rsidRPr="003E19B5">
        <w:rPr>
          <w:kern w:val="0"/>
          <w:sz w:val="40"/>
          <w:szCs w:val="40"/>
        </w:rPr>
        <w:t>KONKURENTSIVÕIME KAVA ’EESTI 2020’</w:t>
      </w:r>
    </w:p>
    <w:p w:rsidR="00B6311E" w:rsidRDefault="00B6311E" w:rsidP="003E19B5">
      <w:pPr>
        <w:pStyle w:val="Heading1"/>
        <w:spacing w:after="360" w:line="360" w:lineRule="auto"/>
        <w:jc w:val="center"/>
        <w:rPr>
          <w:i/>
          <w:kern w:val="0"/>
        </w:rPr>
      </w:pPr>
    </w:p>
    <w:p w:rsidR="00B6311E" w:rsidRDefault="00B6311E" w:rsidP="003E19B5">
      <w:pPr>
        <w:pStyle w:val="Heading1"/>
        <w:spacing w:after="360" w:line="360" w:lineRule="auto"/>
        <w:jc w:val="center"/>
        <w:rPr>
          <w:i/>
          <w:kern w:val="0"/>
        </w:rPr>
      </w:pPr>
    </w:p>
    <w:p w:rsidR="00CC3F38" w:rsidRPr="00B6311E" w:rsidRDefault="009B6F7B" w:rsidP="003E19B5">
      <w:pPr>
        <w:pStyle w:val="Heading1"/>
        <w:spacing w:after="360" w:line="360" w:lineRule="auto"/>
        <w:jc w:val="center"/>
        <w:rPr>
          <w:kern w:val="0"/>
        </w:rPr>
      </w:pPr>
      <w:r w:rsidRPr="00B6311E">
        <w:rPr>
          <w:i/>
          <w:kern w:val="0"/>
        </w:rPr>
        <w:t xml:space="preserve"> </w:t>
      </w:r>
      <w:r w:rsidR="00E70D8B" w:rsidRPr="00B6311E">
        <w:rPr>
          <w:i/>
          <w:kern w:val="0"/>
        </w:rPr>
        <w:t>(</w:t>
      </w:r>
      <w:r w:rsidR="00A26067" w:rsidRPr="00A26067">
        <w:rPr>
          <w:i/>
          <w:kern w:val="0"/>
        </w:rPr>
        <w:t>Kinnitatud</w:t>
      </w:r>
      <w:r w:rsidR="00AE407E" w:rsidRPr="00A26067">
        <w:rPr>
          <w:i/>
          <w:kern w:val="0"/>
        </w:rPr>
        <w:t xml:space="preserve"> </w:t>
      </w:r>
      <w:r w:rsidR="000F5754" w:rsidRPr="00A26067">
        <w:rPr>
          <w:i/>
          <w:kern w:val="0"/>
        </w:rPr>
        <w:t>Vabariigi Valitsuses</w:t>
      </w:r>
      <w:r w:rsidR="00625625" w:rsidRPr="00A26067">
        <w:rPr>
          <w:i/>
          <w:kern w:val="0"/>
        </w:rPr>
        <w:t xml:space="preserve"> </w:t>
      </w:r>
      <w:r w:rsidR="00A26067" w:rsidRPr="00A26067">
        <w:rPr>
          <w:i/>
          <w:kern w:val="0"/>
        </w:rPr>
        <w:t>5.mail 2016)</w:t>
      </w:r>
      <w:r w:rsidR="003E19B5" w:rsidRPr="00B6311E">
        <w:rPr>
          <w:kern w:val="0"/>
        </w:rPr>
        <w:t xml:space="preserve"> </w:t>
      </w:r>
    </w:p>
    <w:p w:rsidR="00CC3F38" w:rsidRDefault="00CC3F38" w:rsidP="00CC3F38"/>
    <w:p w:rsidR="0007796E" w:rsidRDefault="0007796E" w:rsidP="00CC3F38"/>
    <w:p w:rsidR="00CC3F38" w:rsidRDefault="00CC3F38" w:rsidP="00CC3F38"/>
    <w:p w:rsidR="003E19B5" w:rsidRDefault="003E19B5" w:rsidP="003E19B5">
      <w:pPr>
        <w:pStyle w:val="Heading2"/>
      </w:pPr>
    </w:p>
    <w:p w:rsidR="009D09A2" w:rsidRDefault="008F027B" w:rsidP="009D09A2">
      <w:pPr>
        <w:pStyle w:val="ldpealkirjaalapealkiri"/>
        <w:rPr>
          <w:b/>
          <w:bCs/>
        </w:rPr>
      </w:pPr>
      <w:r>
        <w:br w:type="page"/>
      </w:r>
      <w:r w:rsidR="009D09A2">
        <w:rPr>
          <w:b/>
          <w:bCs/>
        </w:rPr>
        <w:lastRenderedPageBreak/>
        <w:t>Sissejuhatus, Ülevaade Eesti 2020 kavast</w:t>
      </w:r>
    </w:p>
    <w:p w:rsidR="007A09B0" w:rsidRDefault="007A09B0" w:rsidP="00C91DF6">
      <w:pPr>
        <w:autoSpaceDE w:val="0"/>
        <w:autoSpaceDN w:val="0"/>
        <w:adjustRightInd w:val="0"/>
        <w:rPr>
          <w:b/>
          <w:bCs/>
          <w:szCs w:val="23"/>
        </w:rPr>
      </w:pPr>
    </w:p>
    <w:p w:rsidR="007A09B0" w:rsidRDefault="007A09B0" w:rsidP="00C91DF6">
      <w:pPr>
        <w:autoSpaceDE w:val="0"/>
        <w:autoSpaceDN w:val="0"/>
        <w:adjustRightInd w:val="0"/>
        <w:rPr>
          <w:b/>
          <w:bCs/>
          <w:szCs w:val="23"/>
        </w:rPr>
      </w:pPr>
    </w:p>
    <w:p w:rsidR="00EC7141" w:rsidRPr="00D025EB" w:rsidRDefault="00EC7141" w:rsidP="00EC7141">
      <w:pPr>
        <w:spacing w:before="100" w:beforeAutospacing="1" w:after="100" w:afterAutospacing="1"/>
        <w:jc w:val="both"/>
        <w:rPr>
          <w:color w:val="000000"/>
        </w:rPr>
      </w:pPr>
      <w:r w:rsidRPr="00D025EB">
        <w:rPr>
          <w:color w:val="000000"/>
        </w:rPr>
        <w:t xml:space="preserve">Konkurentsivõime kava "Eesti 2020" kiideti heaks 2011. aastal ning selles on </w:t>
      </w:r>
      <w:r w:rsidR="005F1954" w:rsidRPr="00D025EB">
        <w:rPr>
          <w:color w:val="000000"/>
        </w:rPr>
        <w:t xml:space="preserve">kirjeldatud </w:t>
      </w:r>
      <w:r w:rsidRPr="00D025EB">
        <w:rPr>
          <w:color w:val="000000"/>
        </w:rPr>
        <w:t>konkurentsivõime tõstmiseks püstitatud eesmärgid 2015. ja 2020. aastaks. Lisaks sisaldab kava peamisi konkurentsivõime tõstmiseks vajalikke tegevusi.</w:t>
      </w:r>
    </w:p>
    <w:p w:rsidR="00EC7141" w:rsidRPr="00D025EB" w:rsidRDefault="00EC7141" w:rsidP="00EC7141">
      <w:pPr>
        <w:spacing w:before="100" w:beforeAutospacing="1" w:after="100" w:afterAutospacing="1"/>
        <w:jc w:val="both"/>
        <w:rPr>
          <w:color w:val="000000"/>
        </w:rPr>
      </w:pPr>
      <w:r w:rsidRPr="00D025EB">
        <w:rPr>
          <w:color w:val="000000"/>
        </w:rPr>
        <w:t>Kava kaks keskset eesmärki on Eesti tootlikkuse ja tööhõive tõstmine. Lähiaastate peamine fookus on hariduse ja tööhõive valdkonnal, rõhuasetusega pikaajaliste ja noorte töötute tööturule integreerimisel ning oskuste arendamisel.</w:t>
      </w:r>
      <w:r w:rsidR="009144A0">
        <w:rPr>
          <w:color w:val="000000"/>
        </w:rPr>
        <w:t xml:space="preserve"> Samuti tootlikkuse kasvu toetavatel meetmetel ning ettevõtluskeskkonna parandamisel.</w:t>
      </w:r>
      <w:r w:rsidRPr="00D025EB">
        <w:rPr>
          <w:color w:val="000000"/>
        </w:rPr>
        <w:t xml:space="preserve"> </w:t>
      </w:r>
    </w:p>
    <w:p w:rsidR="00EC7141" w:rsidRPr="00D025EB" w:rsidRDefault="00EC7141" w:rsidP="00EC7141">
      <w:pPr>
        <w:spacing w:before="100" w:beforeAutospacing="1" w:after="100" w:afterAutospacing="1"/>
        <w:jc w:val="both"/>
        <w:rPr>
          <w:color w:val="000000"/>
        </w:rPr>
      </w:pPr>
      <w:r w:rsidRPr="00D025EB">
        <w:rPr>
          <w:color w:val="000000"/>
        </w:rPr>
        <w:t>„Eesti 2020“ uuendatakse valitsuse otsusega iga aasta</w:t>
      </w:r>
      <w:r w:rsidR="007F0F20" w:rsidRPr="00D025EB">
        <w:rPr>
          <w:color w:val="000000"/>
        </w:rPr>
        <w:t xml:space="preserve"> aprilli</w:t>
      </w:r>
      <w:r w:rsidRPr="00D025EB">
        <w:rPr>
          <w:color w:val="000000"/>
        </w:rPr>
        <w:t xml:space="preserve"> lõpuks</w:t>
      </w:r>
      <w:r w:rsidR="007F0F20" w:rsidRPr="00D025EB">
        <w:rPr>
          <w:color w:val="000000"/>
        </w:rPr>
        <w:t>.</w:t>
      </w:r>
      <w:r w:rsidRPr="00D025EB">
        <w:rPr>
          <w:color w:val="000000"/>
        </w:rPr>
        <w:t xml:space="preserve"> </w:t>
      </w:r>
      <w:r w:rsidR="0099051E">
        <w:rPr>
          <w:color w:val="000000"/>
        </w:rPr>
        <w:t>2016</w:t>
      </w:r>
      <w:r w:rsidR="00C67621">
        <w:rPr>
          <w:color w:val="000000"/>
        </w:rPr>
        <w:t xml:space="preserve">. aasta kevadel on </w:t>
      </w:r>
      <w:r w:rsidR="009F5E82">
        <w:rPr>
          <w:color w:val="000000"/>
        </w:rPr>
        <w:t xml:space="preserve">kava </w:t>
      </w:r>
      <w:r w:rsidR="00C67621">
        <w:rPr>
          <w:color w:val="000000"/>
        </w:rPr>
        <w:t>u</w:t>
      </w:r>
      <w:r w:rsidRPr="00D025EB">
        <w:rPr>
          <w:color w:val="000000"/>
        </w:rPr>
        <w:t xml:space="preserve">uendamise käigus </w:t>
      </w:r>
      <w:r w:rsidR="00C67621">
        <w:rPr>
          <w:color w:val="000000"/>
        </w:rPr>
        <w:t xml:space="preserve">võetud arvesse </w:t>
      </w:r>
      <w:r w:rsidR="003D7078">
        <w:rPr>
          <w:color w:val="000000"/>
        </w:rPr>
        <w:t>eesmärkide täitmisega seotud</w:t>
      </w:r>
      <w:r w:rsidR="00C67621">
        <w:rPr>
          <w:color w:val="000000"/>
        </w:rPr>
        <w:t xml:space="preserve"> </w:t>
      </w:r>
      <w:r w:rsidR="00144788">
        <w:rPr>
          <w:color w:val="000000"/>
        </w:rPr>
        <w:t xml:space="preserve">indikaatorite </w:t>
      </w:r>
      <w:r w:rsidR="00C67621">
        <w:rPr>
          <w:color w:val="000000"/>
        </w:rPr>
        <w:t>statistikat</w:t>
      </w:r>
      <w:r w:rsidR="00F5528F">
        <w:rPr>
          <w:color w:val="000000"/>
        </w:rPr>
        <w:t xml:space="preserve">, Euroopa semestri raames </w:t>
      </w:r>
      <w:r w:rsidR="00A7738E">
        <w:rPr>
          <w:color w:val="000000"/>
        </w:rPr>
        <w:t>saadud</w:t>
      </w:r>
      <w:r w:rsidR="00F5528F">
        <w:rPr>
          <w:color w:val="000000"/>
        </w:rPr>
        <w:t xml:space="preserve"> riigipõhiseid soovitusi, </w:t>
      </w:r>
      <w:r w:rsidRPr="00D025EB">
        <w:rPr>
          <w:color w:val="000000"/>
        </w:rPr>
        <w:t>ministeeriumitevahelis</w:t>
      </w:r>
      <w:r w:rsidR="00C67621">
        <w:rPr>
          <w:color w:val="000000"/>
        </w:rPr>
        <w:t>i</w:t>
      </w:r>
      <w:r w:rsidRPr="00D025EB">
        <w:rPr>
          <w:color w:val="000000"/>
        </w:rPr>
        <w:t xml:space="preserve"> arutelu</w:t>
      </w:r>
      <w:r w:rsidR="00C67621">
        <w:rPr>
          <w:color w:val="000000"/>
        </w:rPr>
        <w:t>sid</w:t>
      </w:r>
      <w:r w:rsidR="007326FF">
        <w:rPr>
          <w:color w:val="000000"/>
        </w:rPr>
        <w:t xml:space="preserve">, </w:t>
      </w:r>
      <w:r w:rsidR="00A7738E">
        <w:rPr>
          <w:color w:val="000000"/>
        </w:rPr>
        <w:t>Euroopa Liidu eelarveperioodi 2014-2020 toetuste</w:t>
      </w:r>
      <w:r w:rsidR="007326FF">
        <w:rPr>
          <w:color w:val="000000"/>
        </w:rPr>
        <w:t xml:space="preserve"> </w:t>
      </w:r>
      <w:r w:rsidR="008B3BD6" w:rsidRPr="008B3BD6">
        <w:rPr>
          <w:color w:val="000000"/>
        </w:rPr>
        <w:t>kasutamise/investeerimise strateegiadokumente</w:t>
      </w:r>
      <w:r w:rsidR="007326FF">
        <w:rPr>
          <w:color w:val="000000"/>
        </w:rPr>
        <w:t>,</w:t>
      </w:r>
      <w:r w:rsidR="00C67621">
        <w:rPr>
          <w:color w:val="000000"/>
        </w:rPr>
        <w:t xml:space="preserve"> </w:t>
      </w:r>
      <w:r w:rsidR="00A7738E">
        <w:rPr>
          <w:color w:val="000000"/>
        </w:rPr>
        <w:t>sam</w:t>
      </w:r>
      <w:r w:rsidR="00CF6E3C">
        <w:rPr>
          <w:color w:val="000000"/>
        </w:rPr>
        <w:t>uti uue</w:t>
      </w:r>
      <w:r w:rsidR="00A7738E">
        <w:rPr>
          <w:color w:val="000000"/>
        </w:rPr>
        <w:t xml:space="preserve"> </w:t>
      </w:r>
      <w:r w:rsidR="000C6D6A">
        <w:rPr>
          <w:color w:val="000000"/>
        </w:rPr>
        <w:t>valitsus</w:t>
      </w:r>
      <w:r w:rsidR="00C67621">
        <w:rPr>
          <w:color w:val="000000"/>
        </w:rPr>
        <w:t>koalitsiooni tegevuskava</w:t>
      </w:r>
      <w:r w:rsidR="00CF6E3C">
        <w:rPr>
          <w:color w:val="000000"/>
        </w:rPr>
        <w:t xml:space="preserve"> prioriteete</w:t>
      </w:r>
      <w:r w:rsidR="007326FF">
        <w:rPr>
          <w:color w:val="000000"/>
        </w:rPr>
        <w:t xml:space="preserve"> </w:t>
      </w:r>
      <w:r w:rsidRPr="008B1265">
        <w:t xml:space="preserve">ning peaministri ja ministrite kohtumistel täpsustunud väljakutseid. </w:t>
      </w:r>
    </w:p>
    <w:p w:rsidR="00527C4A" w:rsidRPr="00AC26A4" w:rsidRDefault="00EC7141" w:rsidP="00AC26A4">
      <w:pPr>
        <w:spacing w:before="100" w:beforeAutospacing="1" w:after="100" w:afterAutospacing="1"/>
        <w:jc w:val="both"/>
        <w:rPr>
          <w:color w:val="000000"/>
        </w:rPr>
      </w:pPr>
      <w:r w:rsidRPr="00D025EB">
        <w:rPr>
          <w:color w:val="000000"/>
        </w:rPr>
        <w:t>"Eesti 2020" elluviimise</w:t>
      </w:r>
      <w:r w:rsidR="00FF3702">
        <w:rPr>
          <w:color w:val="000000"/>
        </w:rPr>
        <w:t xml:space="preserve"> </w:t>
      </w:r>
      <w:r w:rsidR="00725449">
        <w:rPr>
          <w:color w:val="000000"/>
        </w:rPr>
        <w:t>tegevuskava aastateks 2016-2020</w:t>
      </w:r>
      <w:r w:rsidRPr="00D025EB">
        <w:rPr>
          <w:color w:val="000000"/>
        </w:rPr>
        <w:t xml:space="preserve"> </w:t>
      </w:r>
      <w:r w:rsidR="002C050D">
        <w:rPr>
          <w:color w:val="000000"/>
        </w:rPr>
        <w:t>on</w:t>
      </w:r>
      <w:r w:rsidRPr="00D025EB">
        <w:rPr>
          <w:color w:val="000000"/>
        </w:rPr>
        <w:t xml:space="preserve"> </w:t>
      </w:r>
      <w:r w:rsidR="002C050D">
        <w:rPr>
          <w:color w:val="000000"/>
        </w:rPr>
        <w:t>täiendatud</w:t>
      </w:r>
      <w:r w:rsidRPr="00D025EB">
        <w:rPr>
          <w:color w:val="000000"/>
        </w:rPr>
        <w:t xml:space="preserve"> uute meetmetega. Uuendamine toimub kooskõlas valitsuse tegevusprogrammi</w:t>
      </w:r>
      <w:r w:rsidR="00A4341C">
        <w:rPr>
          <w:color w:val="000000"/>
        </w:rPr>
        <w:t>,</w:t>
      </w:r>
      <w:r w:rsidRPr="00D025EB">
        <w:rPr>
          <w:color w:val="000000"/>
        </w:rPr>
        <w:t xml:space="preserve"> riigi eelarvestrateegia</w:t>
      </w:r>
      <w:r w:rsidR="00A4341C">
        <w:rPr>
          <w:color w:val="000000"/>
        </w:rPr>
        <w:t xml:space="preserve"> ning stabiilsusprogrammi</w:t>
      </w:r>
      <w:r w:rsidRPr="00D025EB">
        <w:rPr>
          <w:color w:val="000000"/>
        </w:rPr>
        <w:t xml:space="preserve">ga. </w:t>
      </w:r>
    </w:p>
    <w:p w:rsidR="00D326D2" w:rsidRPr="00D025EB" w:rsidRDefault="00D326D2" w:rsidP="00D326D2">
      <w:pPr>
        <w:jc w:val="both"/>
      </w:pPr>
    </w:p>
    <w:p w:rsidR="009D5284" w:rsidRPr="00184E21" w:rsidRDefault="009D5284" w:rsidP="00E70D8B">
      <w:pPr>
        <w:pStyle w:val="Phitekst"/>
        <w:spacing w:before="240"/>
      </w:pPr>
    </w:p>
    <w:p w:rsidR="009D09A2" w:rsidRDefault="009D09A2" w:rsidP="00FB16AD">
      <w:pPr>
        <w:pStyle w:val="ldpealkirjaalapealkiri"/>
        <w:rPr>
          <w:b/>
          <w:bCs/>
        </w:rPr>
      </w:pPr>
    </w:p>
    <w:p w:rsidR="00FB16AD" w:rsidRDefault="00016A9F" w:rsidP="00FB16AD">
      <w:pPr>
        <w:pStyle w:val="ldpealkirjaalapealkiri"/>
        <w:rPr>
          <w:b/>
          <w:bCs/>
        </w:rPr>
      </w:pPr>
      <w:r>
        <w:rPr>
          <w:b/>
          <w:bCs/>
        </w:rPr>
        <w:br w:type="page"/>
      </w:r>
      <w:r w:rsidR="004F0FA5" w:rsidRPr="004E5CDA">
        <w:rPr>
          <w:b/>
          <w:bCs/>
        </w:rPr>
        <w:lastRenderedPageBreak/>
        <w:t>majanduskasvu väljavaadete</w:t>
      </w:r>
      <w:r w:rsidR="00FB16AD" w:rsidRPr="004E5CDA">
        <w:rPr>
          <w:b/>
          <w:bCs/>
        </w:rPr>
        <w:t xml:space="preserve"> analüüs</w:t>
      </w:r>
      <w:r w:rsidR="00FB16AD" w:rsidRPr="00FB16AD">
        <w:rPr>
          <w:b/>
          <w:bCs/>
        </w:rPr>
        <w:t xml:space="preserve"> </w:t>
      </w:r>
    </w:p>
    <w:p w:rsidR="00D624AD" w:rsidRDefault="00D624AD" w:rsidP="00602BB5">
      <w:pPr>
        <w:autoSpaceDE w:val="0"/>
        <w:autoSpaceDN w:val="0"/>
        <w:adjustRightInd w:val="0"/>
        <w:jc w:val="both"/>
        <w:rPr>
          <w:bCs/>
          <w:szCs w:val="23"/>
        </w:rPr>
      </w:pPr>
    </w:p>
    <w:p w:rsidR="002C2484" w:rsidRDefault="00602BB5" w:rsidP="00602BB5">
      <w:pPr>
        <w:autoSpaceDE w:val="0"/>
        <w:autoSpaceDN w:val="0"/>
        <w:adjustRightInd w:val="0"/>
        <w:jc w:val="both"/>
        <w:rPr>
          <w:bCs/>
          <w:szCs w:val="23"/>
        </w:rPr>
      </w:pPr>
      <w:r w:rsidRPr="00612750">
        <w:rPr>
          <w:bCs/>
          <w:szCs w:val="23"/>
        </w:rPr>
        <w:t>Alates taasiseseisvumisest 1992. aastal on Eesti majanduse kogumaht kasvanud ligikaudu kümme korda. Erakordselt kiire oli Eesti majanduskasv aastatel 2001–2007. Eesti majanduse kohanemine algas juba 2007. aastal, mil majanduse kasvutempo hakkas seoses majandustsükli pöördumisega järkjärgult vähenema. 2008. aasta keskpaigani võis kohanemist pidada ootuspäraseks ning majanduse konkurentsivõimet parandavaks arenguks.</w:t>
      </w:r>
    </w:p>
    <w:p w:rsidR="002C2484" w:rsidRDefault="002C2484" w:rsidP="00602BB5">
      <w:pPr>
        <w:autoSpaceDE w:val="0"/>
        <w:autoSpaceDN w:val="0"/>
        <w:adjustRightInd w:val="0"/>
        <w:jc w:val="both"/>
        <w:rPr>
          <w:bCs/>
          <w:szCs w:val="23"/>
        </w:rPr>
      </w:pPr>
    </w:p>
    <w:p w:rsidR="002C2484" w:rsidRDefault="00602BB5" w:rsidP="002C2484">
      <w:pPr>
        <w:autoSpaceDE w:val="0"/>
        <w:autoSpaceDN w:val="0"/>
        <w:adjustRightInd w:val="0"/>
        <w:jc w:val="both"/>
        <w:rPr>
          <w:bCs/>
          <w:szCs w:val="23"/>
        </w:rPr>
      </w:pPr>
      <w:r w:rsidRPr="00612750">
        <w:rPr>
          <w:bCs/>
          <w:szCs w:val="23"/>
        </w:rPr>
        <w:t xml:space="preserve"> </w:t>
      </w:r>
      <w:r w:rsidR="002C2484">
        <w:rPr>
          <w:bCs/>
          <w:szCs w:val="23"/>
        </w:rPr>
        <w:t xml:space="preserve">Vahetult peale 2008-2009. aasta majandussurutist oli majanduskasvu taastumine kiire, kuid viimastel aastatel on majanduskasv jäänud ootustele ja potentsiaalile alla. 2015. aastal jäi majanduse reaalkasv potentsiaalile  alla ulatudes esialgsel hinnangul 1,1%ni. Erinevate institutsioonide hinnangul on Eesti majanduse potentsiaalne kasv 2-3% aastas.  .Viimastel aastatel on Eesti majanduse kasvu vedanud eratarbimine, mida on toetanud reaalpalga ja tööhõive kasv ning madal tööpuudus. 2015. aastal oli eratarbimise reaalkasv pärast kriisi kiireim ning ulatus 4,8 %ni. </w:t>
      </w:r>
      <w:r w:rsidR="002C2484" w:rsidRPr="00B11D7D">
        <w:rPr>
          <w:bCs/>
          <w:szCs w:val="23"/>
        </w:rPr>
        <w:t>2015. aastal toetas elanike ostujõudu lisaks kiirele brutopalgatulu kasvule ka maksuvaba tulu tõus, tulumaksumäära langetamine ning oluliselt kasvanud peretoetused. Lisaks jätkust mootorikütuste hinnalangus, mis võimaldas inimestel rohkem kulutada muudele kaupadele ja teenustele.</w:t>
      </w:r>
      <w:r w:rsidR="002C2484">
        <w:rPr>
          <w:bCs/>
          <w:szCs w:val="23"/>
        </w:rPr>
        <w:t xml:space="preserve"> Samas langesid eksport 1,1 %, koguinvesteeringud 4,5 % ja ettevõtete investeeringud  8,6%  </w:t>
      </w:r>
      <w:r w:rsidR="002C2484" w:rsidRPr="00B11D7D">
        <w:rPr>
          <w:bCs/>
          <w:szCs w:val="23"/>
        </w:rPr>
        <w:t>välisnõudlus</w:t>
      </w:r>
      <w:r w:rsidR="002C2484">
        <w:rPr>
          <w:bCs/>
          <w:szCs w:val="23"/>
        </w:rPr>
        <w:t xml:space="preserve">e </w:t>
      </w:r>
      <w:r w:rsidR="002C2484" w:rsidRPr="00B11D7D">
        <w:rPr>
          <w:bCs/>
          <w:szCs w:val="23"/>
        </w:rPr>
        <w:t>madalseisu</w:t>
      </w:r>
      <w:r w:rsidR="002C2484">
        <w:rPr>
          <w:bCs/>
          <w:szCs w:val="23"/>
        </w:rPr>
        <w:t xml:space="preserve"> tõttu.</w:t>
      </w:r>
    </w:p>
    <w:p w:rsidR="002C2484" w:rsidRDefault="002C2484" w:rsidP="002C2484">
      <w:pPr>
        <w:autoSpaceDE w:val="0"/>
        <w:autoSpaceDN w:val="0"/>
        <w:adjustRightInd w:val="0"/>
        <w:jc w:val="both"/>
        <w:rPr>
          <w:bCs/>
          <w:szCs w:val="23"/>
        </w:rPr>
      </w:pPr>
    </w:p>
    <w:p w:rsidR="002C2484" w:rsidRDefault="002C2484" w:rsidP="002C2484">
      <w:pPr>
        <w:autoSpaceDE w:val="0"/>
        <w:autoSpaceDN w:val="0"/>
        <w:adjustRightInd w:val="0"/>
        <w:jc w:val="both"/>
        <w:rPr>
          <w:bCs/>
          <w:szCs w:val="23"/>
        </w:rPr>
      </w:pPr>
    </w:p>
    <w:p w:rsidR="002C2484" w:rsidRPr="00330C75" w:rsidRDefault="002C2484" w:rsidP="002C2484">
      <w:pPr>
        <w:pStyle w:val="Joonisealapealkiri"/>
        <w:tabs>
          <w:tab w:val="left" w:pos="4275"/>
        </w:tabs>
        <w:rPr>
          <w:rFonts w:ascii="Times New Roman" w:hAnsi="Times New Roman"/>
          <w:b w:val="0"/>
          <w:color w:val="auto"/>
          <w:sz w:val="24"/>
          <w:szCs w:val="24"/>
        </w:rPr>
      </w:pPr>
      <w:r w:rsidRPr="004E5CDA">
        <w:rPr>
          <w:rFonts w:ascii="Times New Roman" w:hAnsi="Times New Roman"/>
          <w:color w:val="auto"/>
          <w:sz w:val="24"/>
          <w:szCs w:val="24"/>
        </w:rPr>
        <w:t xml:space="preserve">Joonis 1. </w:t>
      </w:r>
      <w:r w:rsidRPr="004E5CDA">
        <w:rPr>
          <w:rFonts w:ascii="Times New Roman" w:hAnsi="Times New Roman"/>
          <w:b w:val="0"/>
          <w:color w:val="auto"/>
          <w:sz w:val="24"/>
          <w:szCs w:val="24"/>
        </w:rPr>
        <w:t>Eesti reaalne konvergents ELiga (% EL2</w:t>
      </w:r>
      <w:r>
        <w:rPr>
          <w:rFonts w:ascii="Times New Roman" w:hAnsi="Times New Roman"/>
          <w:b w:val="0"/>
          <w:color w:val="auto"/>
          <w:sz w:val="24"/>
          <w:szCs w:val="24"/>
        </w:rPr>
        <w:t>8</w:t>
      </w:r>
      <w:r w:rsidRPr="004E5CDA">
        <w:rPr>
          <w:rFonts w:ascii="Times New Roman" w:hAnsi="Times New Roman"/>
          <w:b w:val="0"/>
          <w:color w:val="auto"/>
          <w:sz w:val="24"/>
          <w:szCs w:val="24"/>
        </w:rPr>
        <w:t>st)</w:t>
      </w:r>
    </w:p>
    <w:p w:rsidR="002C2484" w:rsidRDefault="002C2484" w:rsidP="002C2484">
      <w:pPr>
        <w:jc w:val="both"/>
        <w:rPr>
          <w:i/>
        </w:rPr>
      </w:pPr>
      <w:r>
        <w:rPr>
          <w:i/>
          <w:noProof/>
        </w:rPr>
        <w:drawing>
          <wp:inline distT="0" distB="0" distL="0" distR="0">
            <wp:extent cx="5414629" cy="2137558"/>
            <wp:effectExtent l="1905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2484" w:rsidRDefault="002C2484" w:rsidP="002C2484">
      <w:pPr>
        <w:jc w:val="both"/>
        <w:rPr>
          <w:i/>
        </w:rPr>
      </w:pPr>
    </w:p>
    <w:p w:rsidR="002C2484" w:rsidRPr="008F2B02" w:rsidRDefault="002C2484" w:rsidP="002C2484">
      <w:pPr>
        <w:jc w:val="both"/>
        <w:rPr>
          <w:i/>
        </w:rPr>
      </w:pPr>
      <w:r w:rsidRPr="008F2B02">
        <w:rPr>
          <w:i/>
        </w:rPr>
        <w:t xml:space="preserve">Allikas: </w:t>
      </w:r>
      <w:proofErr w:type="spellStart"/>
      <w:r>
        <w:t>Eurostat</w:t>
      </w:r>
      <w:proofErr w:type="spellEnd"/>
    </w:p>
    <w:p w:rsidR="002C2484" w:rsidRPr="00E30E23" w:rsidRDefault="002C2484" w:rsidP="002C2484">
      <w:pPr>
        <w:jc w:val="both"/>
      </w:pPr>
    </w:p>
    <w:p w:rsidR="002C2484" w:rsidRDefault="002C2484" w:rsidP="002C2484">
      <w:pPr>
        <w:jc w:val="both"/>
      </w:pPr>
      <w:r w:rsidRPr="00FE004E">
        <w:t>Rahandusministeeriumi uue 201</w:t>
      </w:r>
      <w:r>
        <w:t>6</w:t>
      </w:r>
      <w:r w:rsidRPr="00FE004E">
        <w:t>. aasta kevadise majandusprognoosi järgi peaks 201</w:t>
      </w:r>
      <w:r>
        <w:t xml:space="preserve">6. aasta majanduskasv jääma varasemalt oodatust  tagasihoidlikumaks jäädes 2% juurde, seejärel aga </w:t>
      </w:r>
      <w:r w:rsidRPr="00FE004E">
        <w:t>taas</w:t>
      </w:r>
      <w:r>
        <w:t xml:space="preserve"> kiirenema,</w:t>
      </w:r>
      <w:r w:rsidRPr="00FE004E">
        <w:t xml:space="preserve"> toeta</w:t>
      </w:r>
      <w:r>
        <w:t xml:space="preserve">tuna </w:t>
      </w:r>
      <w:r w:rsidRPr="00655CC8">
        <w:t>välisnõudluse</w:t>
      </w:r>
      <w:r>
        <w:t xml:space="preserve"> ja investeeringute</w:t>
      </w:r>
      <w:r w:rsidRPr="00655CC8">
        <w:t xml:space="preserve"> kasvu taastumise</w:t>
      </w:r>
      <w:r>
        <w:t xml:space="preserve">st. Eratarbimise kasv  aeglustub, </w:t>
      </w:r>
      <w:proofErr w:type="spellStart"/>
      <w:r>
        <w:t>deflatsioon</w:t>
      </w:r>
      <w:proofErr w:type="spellEnd"/>
      <w:r>
        <w:t xml:space="preserve"> asendub madala  inflatsiooniga.</w:t>
      </w:r>
    </w:p>
    <w:p w:rsidR="002C2484" w:rsidRDefault="002C2484" w:rsidP="002C2484">
      <w:pPr>
        <w:jc w:val="both"/>
      </w:pPr>
    </w:p>
    <w:p w:rsidR="002C2484" w:rsidRPr="00FE004E" w:rsidRDefault="002C2484" w:rsidP="002C2484">
      <w:pPr>
        <w:jc w:val="both"/>
      </w:pPr>
      <w:r w:rsidRPr="00E7673A">
        <w:t xml:space="preserve">Hõive </w:t>
      </w:r>
      <w:r>
        <w:t>taastumise hoog on eelnevatel aastatel olnud kiire, mis aga on ammendunud ja sel aastal eeldatavalt langeb ning järgmistel</w:t>
      </w:r>
      <w:r w:rsidRPr="00E7673A">
        <w:t xml:space="preserve"> aasta</w:t>
      </w:r>
      <w:r>
        <w:t>te</w:t>
      </w:r>
      <w:r w:rsidRPr="00E7673A">
        <w:t xml:space="preserve">l </w:t>
      </w:r>
      <w:r>
        <w:t xml:space="preserve"> jätkuda oodatakse väikese languse jätkumist tulenevalt tööealise rahvastiku vähenemisest ning praeguseks juba ajalooliselt kõrgeima taseme saavutanud tööhõive määra tõttu, mis seab piirid hõive kasvule</w:t>
      </w:r>
      <w:r w:rsidRPr="00E7673A">
        <w:t>.</w:t>
      </w:r>
      <w:r>
        <w:t xml:space="preserve"> T</w:t>
      </w:r>
      <w:r w:rsidRPr="008A5CF5">
        <w:t>ööealise rahvastiku kahanemise</w:t>
      </w:r>
      <w:r>
        <w:t xml:space="preserve">st tulenevat hõivatute arvu langust aitab osaliselt </w:t>
      </w:r>
      <w:r w:rsidRPr="008A5CF5">
        <w:t>kompenseeri</w:t>
      </w:r>
      <w:r>
        <w:t>da</w:t>
      </w:r>
      <w:r w:rsidRPr="008A5CF5">
        <w:t xml:space="preserve"> töövõimereformi rakendumine, mis aitab osalise töövõimega inimestel tööturule tagasi tulla, pakkudes neile </w:t>
      </w:r>
      <w:r w:rsidRPr="008A5CF5">
        <w:lastRenderedPageBreak/>
        <w:t xml:space="preserve">erinevaid aktiveerimismeetmeid. </w:t>
      </w:r>
      <w:r w:rsidRPr="00E7673A">
        <w:t xml:space="preserve"> K</w:t>
      </w:r>
      <w:r>
        <w:t>eskmise palga kasv kujunes 2015. aastal varem oodatust kiiremaks ja peaks aeglustuma sel aastal.</w:t>
      </w:r>
    </w:p>
    <w:p w:rsidR="002C2484" w:rsidRPr="00FE004E" w:rsidRDefault="002C2484" w:rsidP="002C2484">
      <w:pPr>
        <w:rPr>
          <w:rFonts w:ascii="Garamond" w:hAnsi="Garamond" w:cs="Garamond"/>
        </w:rPr>
      </w:pPr>
    </w:p>
    <w:p w:rsidR="002C2484" w:rsidRDefault="002C2484" w:rsidP="002C2484">
      <w:pPr>
        <w:rPr>
          <w:rFonts w:ascii="Garamond" w:hAnsi="Garamond" w:cs="Garamond"/>
          <w:b/>
        </w:rPr>
      </w:pPr>
    </w:p>
    <w:p w:rsidR="002C2484" w:rsidRDefault="002C2484" w:rsidP="002C2484">
      <w:pPr>
        <w:keepNext/>
        <w:rPr>
          <w:rFonts w:ascii="Garamond" w:hAnsi="Garamond" w:cs="Garamond"/>
        </w:rPr>
      </w:pPr>
      <w:r w:rsidRPr="00FE004E">
        <w:rPr>
          <w:rFonts w:ascii="Garamond" w:hAnsi="Garamond" w:cs="Garamond"/>
          <w:b/>
        </w:rPr>
        <w:t>Tabel 1.</w:t>
      </w:r>
      <w:r w:rsidRPr="00FE004E">
        <w:rPr>
          <w:rFonts w:ascii="Garamond" w:hAnsi="Garamond" w:cs="Garamond"/>
        </w:rPr>
        <w:t xml:space="preserve"> Valitud makromajanduslike näitajate muutused ja prognoos</w:t>
      </w:r>
      <w:r>
        <w:rPr>
          <w:rFonts w:ascii="Garamond" w:hAnsi="Garamond" w:cs="Garamond"/>
        </w:rPr>
        <w:t>*</w:t>
      </w:r>
      <w:r w:rsidRPr="00FE004E">
        <w:rPr>
          <w:rFonts w:ascii="Garamond" w:hAnsi="Garamond" w:cs="Garamond"/>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017"/>
        <w:gridCol w:w="1017"/>
        <w:gridCol w:w="1017"/>
        <w:gridCol w:w="1017"/>
        <w:gridCol w:w="1017"/>
        <w:gridCol w:w="1017"/>
      </w:tblGrid>
      <w:tr w:rsidR="002C2484" w:rsidRPr="00FE004E" w:rsidTr="000D29B5">
        <w:trPr>
          <w:trHeight w:val="248"/>
        </w:trPr>
        <w:tc>
          <w:tcPr>
            <w:tcW w:w="2160" w:type="dxa"/>
          </w:tcPr>
          <w:p w:rsidR="002C2484" w:rsidRDefault="002C2484" w:rsidP="000D29B5">
            <w:pPr>
              <w:keepNext/>
              <w:spacing w:before="60" w:after="60"/>
              <w:rPr>
                <w:b/>
                <w:sz w:val="20"/>
                <w:szCs w:val="20"/>
              </w:rPr>
            </w:pPr>
          </w:p>
        </w:tc>
        <w:tc>
          <w:tcPr>
            <w:tcW w:w="1017" w:type="dxa"/>
            <w:vAlign w:val="center"/>
          </w:tcPr>
          <w:p w:rsidR="002C2484" w:rsidRPr="006378DC" w:rsidRDefault="002C2484" w:rsidP="000D29B5">
            <w:pPr>
              <w:pStyle w:val="Tabelitekst"/>
              <w:keepNext/>
              <w:jc w:val="center"/>
              <w:rPr>
                <w:rFonts w:eastAsia="Arial Unicode MS"/>
                <w:b/>
                <w:bCs/>
              </w:rPr>
            </w:pPr>
            <w:r w:rsidRPr="006378DC">
              <w:rPr>
                <w:rFonts w:eastAsia="Arial Unicode MS"/>
                <w:b/>
                <w:bCs/>
              </w:rPr>
              <w:t>201</w:t>
            </w:r>
            <w:r>
              <w:rPr>
                <w:rFonts w:eastAsia="Arial Unicode MS"/>
                <w:b/>
                <w:bCs/>
              </w:rPr>
              <w:t>5</w:t>
            </w:r>
          </w:p>
        </w:tc>
        <w:tc>
          <w:tcPr>
            <w:tcW w:w="1017" w:type="dxa"/>
            <w:vAlign w:val="center"/>
          </w:tcPr>
          <w:p w:rsidR="002C2484" w:rsidRPr="006378DC" w:rsidRDefault="002C2484" w:rsidP="000D29B5">
            <w:pPr>
              <w:pStyle w:val="Tabelitekst"/>
              <w:keepNext/>
              <w:jc w:val="center"/>
              <w:rPr>
                <w:rFonts w:eastAsia="Arial Unicode MS"/>
                <w:b/>
                <w:bCs/>
              </w:rPr>
            </w:pPr>
            <w:r w:rsidRPr="006378DC">
              <w:rPr>
                <w:rFonts w:eastAsia="Arial Unicode MS"/>
                <w:b/>
                <w:bCs/>
              </w:rPr>
              <w:t>201</w:t>
            </w:r>
            <w:r>
              <w:rPr>
                <w:rFonts w:eastAsia="Arial Unicode MS"/>
                <w:b/>
                <w:bCs/>
              </w:rPr>
              <w:t>6</w:t>
            </w:r>
            <w:r w:rsidRPr="006378DC">
              <w:rPr>
                <w:rFonts w:eastAsia="Arial Unicode MS"/>
                <w:b/>
                <w:bCs/>
              </w:rPr>
              <w:t>*</w:t>
            </w:r>
          </w:p>
        </w:tc>
        <w:tc>
          <w:tcPr>
            <w:tcW w:w="1017" w:type="dxa"/>
            <w:vAlign w:val="center"/>
          </w:tcPr>
          <w:p w:rsidR="002C2484" w:rsidRPr="006378DC" w:rsidRDefault="002C2484" w:rsidP="000D29B5">
            <w:pPr>
              <w:pStyle w:val="Tabelitekst"/>
              <w:keepNext/>
              <w:jc w:val="center"/>
              <w:rPr>
                <w:rFonts w:eastAsia="Arial Unicode MS"/>
                <w:b/>
                <w:bCs/>
              </w:rPr>
            </w:pPr>
            <w:r w:rsidRPr="006378DC">
              <w:rPr>
                <w:rFonts w:eastAsia="Arial Unicode MS"/>
                <w:b/>
                <w:bCs/>
              </w:rPr>
              <w:t>201</w:t>
            </w:r>
            <w:r>
              <w:rPr>
                <w:rFonts w:eastAsia="Arial Unicode MS"/>
                <w:b/>
                <w:bCs/>
              </w:rPr>
              <w:t>7</w:t>
            </w:r>
            <w:r w:rsidRPr="006378DC">
              <w:rPr>
                <w:rFonts w:eastAsia="Arial Unicode MS"/>
                <w:b/>
                <w:bCs/>
              </w:rPr>
              <w:t>*</w:t>
            </w:r>
          </w:p>
        </w:tc>
        <w:tc>
          <w:tcPr>
            <w:tcW w:w="1017" w:type="dxa"/>
            <w:vAlign w:val="center"/>
          </w:tcPr>
          <w:p w:rsidR="002C2484" w:rsidRPr="006378DC" w:rsidRDefault="002C2484" w:rsidP="000D29B5">
            <w:pPr>
              <w:pStyle w:val="Tabelitekst"/>
              <w:keepNext/>
              <w:jc w:val="center"/>
              <w:rPr>
                <w:rFonts w:eastAsia="Arial Unicode MS"/>
                <w:b/>
                <w:bCs/>
              </w:rPr>
            </w:pPr>
            <w:r w:rsidRPr="006378DC">
              <w:rPr>
                <w:rFonts w:eastAsia="Arial Unicode MS"/>
                <w:b/>
                <w:bCs/>
              </w:rPr>
              <w:t>201</w:t>
            </w:r>
            <w:r>
              <w:rPr>
                <w:rFonts w:eastAsia="Arial Unicode MS"/>
                <w:b/>
                <w:bCs/>
              </w:rPr>
              <w:t>8</w:t>
            </w:r>
            <w:r w:rsidRPr="006378DC">
              <w:rPr>
                <w:rFonts w:eastAsia="Arial Unicode MS"/>
                <w:b/>
                <w:bCs/>
              </w:rPr>
              <w:t>*</w:t>
            </w:r>
          </w:p>
        </w:tc>
        <w:tc>
          <w:tcPr>
            <w:tcW w:w="1017" w:type="dxa"/>
            <w:vAlign w:val="center"/>
          </w:tcPr>
          <w:p w:rsidR="002C2484" w:rsidRPr="006378DC" w:rsidRDefault="002C2484" w:rsidP="000D29B5">
            <w:pPr>
              <w:pStyle w:val="Tabelitekst"/>
              <w:keepNext/>
              <w:jc w:val="center"/>
              <w:rPr>
                <w:rFonts w:eastAsia="Arial Unicode MS"/>
                <w:b/>
                <w:bCs/>
              </w:rPr>
            </w:pPr>
            <w:r w:rsidRPr="006378DC">
              <w:rPr>
                <w:rFonts w:eastAsia="Arial Unicode MS"/>
                <w:b/>
                <w:bCs/>
              </w:rPr>
              <w:t>201</w:t>
            </w:r>
            <w:r>
              <w:rPr>
                <w:rFonts w:eastAsia="Arial Unicode MS"/>
                <w:b/>
                <w:bCs/>
              </w:rPr>
              <w:t>9</w:t>
            </w:r>
            <w:r w:rsidRPr="006378DC">
              <w:rPr>
                <w:rFonts w:eastAsia="Arial Unicode MS"/>
                <w:b/>
                <w:bCs/>
              </w:rPr>
              <w:t>*</w:t>
            </w:r>
          </w:p>
        </w:tc>
        <w:tc>
          <w:tcPr>
            <w:tcW w:w="1017" w:type="dxa"/>
            <w:vAlign w:val="center"/>
          </w:tcPr>
          <w:p w:rsidR="002C2484" w:rsidRPr="006378DC" w:rsidRDefault="002C2484" w:rsidP="000D29B5">
            <w:pPr>
              <w:pStyle w:val="Tabelitekst"/>
              <w:keepNext/>
              <w:jc w:val="center"/>
              <w:rPr>
                <w:rFonts w:eastAsia="Arial Unicode MS"/>
                <w:b/>
                <w:bCs/>
              </w:rPr>
            </w:pPr>
            <w:r w:rsidRPr="006378DC">
              <w:rPr>
                <w:rFonts w:eastAsia="Arial Unicode MS"/>
                <w:b/>
                <w:bCs/>
              </w:rPr>
              <w:t>20</w:t>
            </w:r>
            <w:r>
              <w:rPr>
                <w:rFonts w:eastAsia="Arial Unicode MS"/>
                <w:b/>
                <w:bCs/>
              </w:rPr>
              <w:t>20</w:t>
            </w:r>
            <w:r w:rsidRPr="006378DC">
              <w:rPr>
                <w:rFonts w:eastAsia="Arial Unicode MS"/>
                <w:b/>
                <w:bCs/>
              </w:rPr>
              <w:t>*</w:t>
            </w:r>
          </w:p>
        </w:tc>
      </w:tr>
      <w:tr w:rsidR="002C2484" w:rsidRPr="00FE004E" w:rsidTr="000D29B5">
        <w:tc>
          <w:tcPr>
            <w:tcW w:w="2160" w:type="dxa"/>
          </w:tcPr>
          <w:p w:rsidR="002C2484" w:rsidRDefault="002C2484" w:rsidP="000D29B5">
            <w:pPr>
              <w:keepNext/>
              <w:spacing w:before="60" w:after="60"/>
              <w:rPr>
                <w:sz w:val="20"/>
                <w:szCs w:val="20"/>
              </w:rPr>
            </w:pPr>
            <w:r w:rsidRPr="00FE004E">
              <w:rPr>
                <w:sz w:val="20"/>
                <w:szCs w:val="20"/>
              </w:rPr>
              <w:t xml:space="preserve">SKP reaalkasv </w:t>
            </w:r>
          </w:p>
        </w:tc>
        <w:tc>
          <w:tcPr>
            <w:tcW w:w="1017" w:type="dxa"/>
            <w:vAlign w:val="center"/>
          </w:tcPr>
          <w:p w:rsidR="002C2484" w:rsidRDefault="002C2484" w:rsidP="000D29B5">
            <w:pPr>
              <w:keepNext/>
              <w:jc w:val="center"/>
              <w:rPr>
                <w:sz w:val="20"/>
                <w:szCs w:val="20"/>
              </w:rPr>
            </w:pPr>
            <w:r>
              <w:rPr>
                <w:sz w:val="20"/>
                <w:szCs w:val="20"/>
              </w:rPr>
              <w:t>1,1</w:t>
            </w:r>
          </w:p>
        </w:tc>
        <w:tc>
          <w:tcPr>
            <w:tcW w:w="1017" w:type="dxa"/>
            <w:vAlign w:val="center"/>
          </w:tcPr>
          <w:p w:rsidR="002C2484" w:rsidRDefault="002C2484" w:rsidP="000D29B5">
            <w:pPr>
              <w:keepNext/>
              <w:jc w:val="center"/>
              <w:rPr>
                <w:i/>
                <w:sz w:val="20"/>
                <w:szCs w:val="20"/>
              </w:rPr>
            </w:pPr>
            <w:r w:rsidRPr="00524232">
              <w:rPr>
                <w:i/>
                <w:sz w:val="20"/>
                <w:szCs w:val="20"/>
              </w:rPr>
              <w:t>2,0</w:t>
            </w:r>
          </w:p>
        </w:tc>
        <w:tc>
          <w:tcPr>
            <w:tcW w:w="1017" w:type="dxa"/>
            <w:vAlign w:val="center"/>
          </w:tcPr>
          <w:p w:rsidR="002C2484" w:rsidRDefault="002C2484" w:rsidP="000D29B5">
            <w:pPr>
              <w:keepNext/>
              <w:jc w:val="center"/>
              <w:rPr>
                <w:i/>
                <w:sz w:val="20"/>
                <w:szCs w:val="20"/>
              </w:rPr>
            </w:pPr>
            <w:r w:rsidRPr="00524232">
              <w:rPr>
                <w:i/>
                <w:sz w:val="20"/>
                <w:szCs w:val="20"/>
              </w:rPr>
              <w:t>3,</w:t>
            </w:r>
            <w:r>
              <w:rPr>
                <w:i/>
                <w:sz w:val="20"/>
                <w:szCs w:val="20"/>
              </w:rPr>
              <w:t>0</w:t>
            </w:r>
          </w:p>
        </w:tc>
        <w:tc>
          <w:tcPr>
            <w:tcW w:w="1017" w:type="dxa"/>
            <w:vAlign w:val="center"/>
          </w:tcPr>
          <w:p w:rsidR="002C2484" w:rsidRDefault="002C2484" w:rsidP="000D29B5">
            <w:pPr>
              <w:keepNext/>
              <w:jc w:val="center"/>
              <w:rPr>
                <w:i/>
                <w:sz w:val="20"/>
                <w:szCs w:val="20"/>
              </w:rPr>
            </w:pPr>
            <w:r w:rsidRPr="00524232">
              <w:rPr>
                <w:i/>
                <w:sz w:val="20"/>
                <w:szCs w:val="20"/>
              </w:rPr>
              <w:t>3,</w:t>
            </w:r>
            <w:r>
              <w:rPr>
                <w:i/>
                <w:sz w:val="20"/>
                <w:szCs w:val="20"/>
              </w:rPr>
              <w:t>3</w:t>
            </w:r>
          </w:p>
        </w:tc>
        <w:tc>
          <w:tcPr>
            <w:tcW w:w="1017" w:type="dxa"/>
            <w:vAlign w:val="center"/>
          </w:tcPr>
          <w:p w:rsidR="002C2484" w:rsidRDefault="002C2484" w:rsidP="000D29B5">
            <w:pPr>
              <w:keepNext/>
              <w:jc w:val="center"/>
              <w:rPr>
                <w:i/>
                <w:sz w:val="20"/>
                <w:szCs w:val="20"/>
              </w:rPr>
            </w:pPr>
            <w:r w:rsidRPr="00524232">
              <w:rPr>
                <w:i/>
                <w:sz w:val="20"/>
                <w:szCs w:val="20"/>
              </w:rPr>
              <w:t>3,</w:t>
            </w:r>
            <w:r>
              <w:rPr>
                <w:i/>
                <w:sz w:val="20"/>
                <w:szCs w:val="20"/>
              </w:rPr>
              <w:t>0</w:t>
            </w:r>
          </w:p>
        </w:tc>
        <w:tc>
          <w:tcPr>
            <w:tcW w:w="1017" w:type="dxa"/>
            <w:vAlign w:val="center"/>
          </w:tcPr>
          <w:p w:rsidR="002C2484" w:rsidRDefault="002C2484" w:rsidP="000D29B5">
            <w:pPr>
              <w:keepNext/>
              <w:jc w:val="center"/>
              <w:rPr>
                <w:i/>
                <w:sz w:val="20"/>
                <w:szCs w:val="20"/>
              </w:rPr>
            </w:pPr>
            <w:r>
              <w:rPr>
                <w:i/>
                <w:sz w:val="20"/>
                <w:szCs w:val="20"/>
              </w:rPr>
              <w:t>2</w:t>
            </w:r>
            <w:r w:rsidRPr="00524232">
              <w:rPr>
                <w:i/>
                <w:sz w:val="20"/>
                <w:szCs w:val="20"/>
              </w:rPr>
              <w:t>,</w:t>
            </w:r>
            <w:r>
              <w:rPr>
                <w:i/>
                <w:sz w:val="20"/>
                <w:szCs w:val="20"/>
              </w:rPr>
              <w:t>8</w:t>
            </w:r>
          </w:p>
        </w:tc>
      </w:tr>
      <w:tr w:rsidR="002C2484" w:rsidRPr="00FE004E" w:rsidTr="000D29B5">
        <w:tc>
          <w:tcPr>
            <w:tcW w:w="2160" w:type="dxa"/>
          </w:tcPr>
          <w:p w:rsidR="002C2484" w:rsidRDefault="002C2484" w:rsidP="000D29B5">
            <w:pPr>
              <w:keepNext/>
              <w:spacing w:before="60" w:after="60"/>
              <w:rPr>
                <w:sz w:val="20"/>
                <w:szCs w:val="20"/>
              </w:rPr>
            </w:pPr>
            <w:r w:rsidRPr="00FE004E">
              <w:rPr>
                <w:sz w:val="20"/>
                <w:szCs w:val="20"/>
              </w:rPr>
              <w:t>Tarbijahinnaindeks</w:t>
            </w:r>
          </w:p>
        </w:tc>
        <w:tc>
          <w:tcPr>
            <w:tcW w:w="1017" w:type="dxa"/>
            <w:vAlign w:val="center"/>
          </w:tcPr>
          <w:p w:rsidR="002C2484" w:rsidRDefault="002C2484" w:rsidP="000D29B5">
            <w:pPr>
              <w:keepNext/>
              <w:jc w:val="center"/>
              <w:rPr>
                <w:sz w:val="20"/>
                <w:szCs w:val="20"/>
              </w:rPr>
            </w:pPr>
            <w:r>
              <w:rPr>
                <w:sz w:val="20"/>
                <w:szCs w:val="20"/>
              </w:rPr>
              <w:t xml:space="preserve">-0,5 </w:t>
            </w:r>
          </w:p>
        </w:tc>
        <w:tc>
          <w:tcPr>
            <w:tcW w:w="1017" w:type="dxa"/>
            <w:vAlign w:val="center"/>
          </w:tcPr>
          <w:p w:rsidR="002C2484" w:rsidRDefault="002C2484" w:rsidP="000D29B5">
            <w:pPr>
              <w:pStyle w:val="Default"/>
              <w:keepNext/>
              <w:rPr>
                <w:rFonts w:asciiTheme="majorHAnsi" w:eastAsiaTheme="majorEastAsia" w:hAnsiTheme="majorHAnsi" w:cstheme="majorBidi"/>
                <w:b/>
                <w:bCs/>
                <w:i/>
                <w:iCs/>
                <w:sz w:val="20"/>
                <w:szCs w:val="20"/>
              </w:rPr>
            </w:pPr>
            <w:r>
              <w:rPr>
                <w:i/>
                <w:sz w:val="20"/>
                <w:szCs w:val="20"/>
              </w:rPr>
              <w:t xml:space="preserve"> </w:t>
            </w:r>
            <w:r w:rsidR="000D29B5">
              <w:rPr>
                <w:i/>
                <w:sz w:val="20"/>
                <w:szCs w:val="20"/>
              </w:rPr>
              <w:t xml:space="preserve">    </w:t>
            </w:r>
            <w:r>
              <w:rPr>
                <w:i/>
                <w:sz w:val="20"/>
                <w:szCs w:val="20"/>
              </w:rPr>
              <w:t xml:space="preserve">0,3 </w:t>
            </w:r>
          </w:p>
        </w:tc>
        <w:tc>
          <w:tcPr>
            <w:tcW w:w="1017" w:type="dxa"/>
            <w:vAlign w:val="center"/>
          </w:tcPr>
          <w:p w:rsidR="002C2484" w:rsidRDefault="002C2484" w:rsidP="000D29B5">
            <w:pPr>
              <w:pStyle w:val="Default"/>
              <w:keepNext/>
              <w:jc w:val="center"/>
              <w:rPr>
                <w:i/>
                <w:sz w:val="20"/>
                <w:szCs w:val="20"/>
              </w:rPr>
            </w:pPr>
            <w:r w:rsidRPr="00524232">
              <w:rPr>
                <w:i/>
                <w:sz w:val="20"/>
                <w:szCs w:val="20"/>
              </w:rPr>
              <w:t>2,7</w:t>
            </w:r>
          </w:p>
        </w:tc>
        <w:tc>
          <w:tcPr>
            <w:tcW w:w="1017" w:type="dxa"/>
            <w:vAlign w:val="center"/>
          </w:tcPr>
          <w:p w:rsidR="002C2484" w:rsidRDefault="002C2484" w:rsidP="000D29B5">
            <w:pPr>
              <w:pStyle w:val="Default"/>
              <w:keepNext/>
              <w:jc w:val="center"/>
              <w:rPr>
                <w:i/>
                <w:sz w:val="20"/>
                <w:szCs w:val="20"/>
              </w:rPr>
            </w:pPr>
            <w:r w:rsidRPr="00524232">
              <w:rPr>
                <w:i/>
                <w:sz w:val="20"/>
                <w:szCs w:val="20"/>
              </w:rPr>
              <w:t>2,</w:t>
            </w:r>
            <w:r>
              <w:rPr>
                <w:i/>
                <w:sz w:val="20"/>
                <w:szCs w:val="20"/>
              </w:rPr>
              <w:t>9</w:t>
            </w:r>
          </w:p>
        </w:tc>
        <w:tc>
          <w:tcPr>
            <w:tcW w:w="1017" w:type="dxa"/>
            <w:vAlign w:val="center"/>
          </w:tcPr>
          <w:p w:rsidR="002C2484" w:rsidRDefault="002C2484" w:rsidP="000D29B5">
            <w:pPr>
              <w:pStyle w:val="Default"/>
              <w:keepNext/>
              <w:jc w:val="center"/>
              <w:rPr>
                <w:i/>
                <w:sz w:val="20"/>
                <w:szCs w:val="20"/>
              </w:rPr>
            </w:pPr>
            <w:r w:rsidRPr="00524232">
              <w:rPr>
                <w:i/>
                <w:sz w:val="20"/>
                <w:szCs w:val="20"/>
              </w:rPr>
              <w:t>2,8</w:t>
            </w:r>
          </w:p>
        </w:tc>
        <w:tc>
          <w:tcPr>
            <w:tcW w:w="1017" w:type="dxa"/>
            <w:vAlign w:val="center"/>
          </w:tcPr>
          <w:p w:rsidR="002C2484" w:rsidRDefault="002C2484" w:rsidP="000D29B5">
            <w:pPr>
              <w:pStyle w:val="Default"/>
              <w:keepNext/>
              <w:jc w:val="center"/>
              <w:rPr>
                <w:i/>
                <w:sz w:val="20"/>
                <w:szCs w:val="20"/>
              </w:rPr>
            </w:pPr>
            <w:r w:rsidRPr="00524232">
              <w:rPr>
                <w:i/>
                <w:sz w:val="20"/>
                <w:szCs w:val="20"/>
              </w:rPr>
              <w:t>2,8</w:t>
            </w:r>
          </w:p>
        </w:tc>
      </w:tr>
      <w:tr w:rsidR="002C2484" w:rsidRPr="00FE004E" w:rsidTr="000D29B5">
        <w:tc>
          <w:tcPr>
            <w:tcW w:w="2160" w:type="dxa"/>
          </w:tcPr>
          <w:p w:rsidR="002C2484" w:rsidRDefault="002C2484" w:rsidP="000D29B5">
            <w:pPr>
              <w:keepNext/>
              <w:spacing w:before="60" w:after="60"/>
              <w:rPr>
                <w:sz w:val="20"/>
                <w:szCs w:val="20"/>
              </w:rPr>
            </w:pPr>
            <w:r w:rsidRPr="00FE004E">
              <w:rPr>
                <w:sz w:val="20"/>
                <w:szCs w:val="20"/>
              </w:rPr>
              <w:t>Tööhõive kasv</w:t>
            </w:r>
          </w:p>
        </w:tc>
        <w:tc>
          <w:tcPr>
            <w:tcW w:w="1017" w:type="dxa"/>
            <w:vAlign w:val="center"/>
          </w:tcPr>
          <w:p w:rsidR="002C2484" w:rsidRDefault="002C2484" w:rsidP="000D29B5">
            <w:pPr>
              <w:keepNext/>
              <w:jc w:val="center"/>
              <w:rPr>
                <w:sz w:val="20"/>
                <w:szCs w:val="20"/>
              </w:rPr>
            </w:pPr>
            <w:r>
              <w:rPr>
                <w:sz w:val="20"/>
                <w:szCs w:val="20"/>
              </w:rPr>
              <w:t xml:space="preserve">2,6 </w:t>
            </w:r>
          </w:p>
        </w:tc>
        <w:tc>
          <w:tcPr>
            <w:tcW w:w="1017" w:type="dxa"/>
            <w:vAlign w:val="center"/>
          </w:tcPr>
          <w:p w:rsidR="002C2484" w:rsidRDefault="002C2484" w:rsidP="000D29B5">
            <w:pPr>
              <w:pStyle w:val="Default"/>
              <w:keepNext/>
              <w:rPr>
                <w:rFonts w:asciiTheme="majorHAnsi" w:eastAsiaTheme="majorEastAsia" w:hAnsiTheme="majorHAnsi" w:cstheme="majorBidi"/>
                <w:b/>
                <w:bCs/>
                <w:i/>
                <w:iCs/>
                <w:sz w:val="20"/>
                <w:szCs w:val="20"/>
              </w:rPr>
            </w:pPr>
            <w:r>
              <w:rPr>
                <w:i/>
                <w:sz w:val="20"/>
                <w:szCs w:val="20"/>
              </w:rPr>
              <w:t xml:space="preserve"> </w:t>
            </w:r>
            <w:r w:rsidR="000D29B5">
              <w:rPr>
                <w:i/>
                <w:sz w:val="20"/>
                <w:szCs w:val="20"/>
              </w:rPr>
              <w:t xml:space="preserve">    </w:t>
            </w:r>
            <w:r>
              <w:rPr>
                <w:i/>
                <w:sz w:val="20"/>
                <w:szCs w:val="20"/>
              </w:rPr>
              <w:t>-0,9</w:t>
            </w:r>
          </w:p>
        </w:tc>
        <w:tc>
          <w:tcPr>
            <w:tcW w:w="1017" w:type="dxa"/>
            <w:vAlign w:val="center"/>
          </w:tcPr>
          <w:p w:rsidR="002C2484" w:rsidRDefault="002C2484" w:rsidP="000D29B5">
            <w:pPr>
              <w:pStyle w:val="Default"/>
              <w:keepNext/>
              <w:jc w:val="center"/>
              <w:rPr>
                <w:i/>
                <w:sz w:val="20"/>
                <w:szCs w:val="20"/>
              </w:rPr>
            </w:pPr>
            <w:r>
              <w:rPr>
                <w:i/>
                <w:sz w:val="20"/>
                <w:szCs w:val="20"/>
              </w:rPr>
              <w:t xml:space="preserve">-0,1 </w:t>
            </w:r>
          </w:p>
        </w:tc>
        <w:tc>
          <w:tcPr>
            <w:tcW w:w="1017" w:type="dxa"/>
            <w:vAlign w:val="center"/>
          </w:tcPr>
          <w:p w:rsidR="002C2484" w:rsidRDefault="002C2484" w:rsidP="000D29B5">
            <w:pPr>
              <w:pStyle w:val="Default"/>
              <w:keepNext/>
              <w:jc w:val="center"/>
              <w:rPr>
                <w:i/>
                <w:sz w:val="20"/>
                <w:szCs w:val="20"/>
              </w:rPr>
            </w:pPr>
            <w:r w:rsidRPr="00524232">
              <w:rPr>
                <w:i/>
                <w:sz w:val="20"/>
                <w:szCs w:val="20"/>
              </w:rPr>
              <w:t>-0,</w:t>
            </w:r>
            <w:r>
              <w:rPr>
                <w:i/>
                <w:sz w:val="20"/>
                <w:szCs w:val="20"/>
              </w:rPr>
              <w:t>3</w:t>
            </w:r>
          </w:p>
        </w:tc>
        <w:tc>
          <w:tcPr>
            <w:tcW w:w="1017" w:type="dxa"/>
            <w:vAlign w:val="center"/>
          </w:tcPr>
          <w:p w:rsidR="002C2484" w:rsidRDefault="002C2484" w:rsidP="000D29B5">
            <w:pPr>
              <w:pStyle w:val="Default"/>
              <w:keepNext/>
              <w:jc w:val="center"/>
              <w:rPr>
                <w:i/>
                <w:sz w:val="20"/>
                <w:szCs w:val="20"/>
              </w:rPr>
            </w:pPr>
            <w:r w:rsidRPr="00524232">
              <w:rPr>
                <w:i/>
                <w:sz w:val="20"/>
                <w:szCs w:val="20"/>
              </w:rPr>
              <w:t>-0</w:t>
            </w:r>
            <w:r>
              <w:rPr>
                <w:i/>
                <w:sz w:val="20"/>
                <w:szCs w:val="20"/>
              </w:rPr>
              <w:t>,2</w:t>
            </w:r>
          </w:p>
        </w:tc>
        <w:tc>
          <w:tcPr>
            <w:tcW w:w="1017" w:type="dxa"/>
            <w:vAlign w:val="center"/>
          </w:tcPr>
          <w:p w:rsidR="002C2484" w:rsidRDefault="002C2484" w:rsidP="000D29B5">
            <w:pPr>
              <w:pStyle w:val="Default"/>
              <w:keepNext/>
              <w:jc w:val="center"/>
              <w:rPr>
                <w:i/>
                <w:sz w:val="20"/>
                <w:szCs w:val="20"/>
              </w:rPr>
            </w:pPr>
            <w:r w:rsidRPr="00524232">
              <w:rPr>
                <w:i/>
                <w:sz w:val="20"/>
                <w:szCs w:val="20"/>
              </w:rPr>
              <w:t>-0,</w:t>
            </w:r>
            <w:r>
              <w:rPr>
                <w:i/>
                <w:sz w:val="20"/>
                <w:szCs w:val="20"/>
              </w:rPr>
              <w:t>0</w:t>
            </w:r>
          </w:p>
        </w:tc>
      </w:tr>
      <w:tr w:rsidR="002C2484" w:rsidRPr="00FE004E" w:rsidTr="000D29B5">
        <w:trPr>
          <w:trHeight w:val="70"/>
        </w:trPr>
        <w:tc>
          <w:tcPr>
            <w:tcW w:w="2160" w:type="dxa"/>
          </w:tcPr>
          <w:p w:rsidR="002C2484" w:rsidRDefault="002C2484" w:rsidP="000D29B5">
            <w:pPr>
              <w:keepNext/>
              <w:spacing w:before="60" w:after="60"/>
              <w:rPr>
                <w:sz w:val="20"/>
                <w:szCs w:val="20"/>
              </w:rPr>
            </w:pPr>
            <w:r w:rsidRPr="00A56880">
              <w:rPr>
                <w:sz w:val="20"/>
                <w:szCs w:val="20"/>
              </w:rPr>
              <w:t>Palga reaalkasv</w:t>
            </w:r>
          </w:p>
        </w:tc>
        <w:tc>
          <w:tcPr>
            <w:tcW w:w="1017" w:type="dxa"/>
            <w:vAlign w:val="center"/>
          </w:tcPr>
          <w:p w:rsidR="002C2484" w:rsidRDefault="002C2484" w:rsidP="000D29B5">
            <w:pPr>
              <w:keepNext/>
              <w:jc w:val="center"/>
              <w:rPr>
                <w:sz w:val="20"/>
                <w:szCs w:val="20"/>
              </w:rPr>
            </w:pPr>
            <w:r>
              <w:rPr>
                <w:sz w:val="20"/>
                <w:szCs w:val="20"/>
              </w:rPr>
              <w:t xml:space="preserve">6,5 </w:t>
            </w:r>
          </w:p>
        </w:tc>
        <w:tc>
          <w:tcPr>
            <w:tcW w:w="1017" w:type="dxa"/>
            <w:vAlign w:val="center"/>
          </w:tcPr>
          <w:p w:rsidR="002C2484" w:rsidRDefault="002C2484" w:rsidP="000D29B5">
            <w:pPr>
              <w:pStyle w:val="Default"/>
              <w:keepNext/>
              <w:jc w:val="center"/>
              <w:rPr>
                <w:i/>
                <w:sz w:val="20"/>
                <w:szCs w:val="20"/>
              </w:rPr>
            </w:pPr>
            <w:r>
              <w:rPr>
                <w:i/>
                <w:sz w:val="20"/>
                <w:szCs w:val="20"/>
              </w:rPr>
              <w:t xml:space="preserve">4,5 </w:t>
            </w:r>
          </w:p>
        </w:tc>
        <w:tc>
          <w:tcPr>
            <w:tcW w:w="1017" w:type="dxa"/>
            <w:vAlign w:val="center"/>
          </w:tcPr>
          <w:p w:rsidR="002C2484" w:rsidRDefault="000D29B5" w:rsidP="000D29B5">
            <w:pPr>
              <w:pStyle w:val="Default"/>
              <w:keepNext/>
              <w:rPr>
                <w:rFonts w:asciiTheme="majorHAnsi" w:eastAsiaTheme="majorEastAsia" w:hAnsiTheme="majorHAnsi" w:cstheme="majorBidi"/>
                <w:b/>
                <w:bCs/>
                <w:i/>
                <w:iCs/>
                <w:sz w:val="20"/>
                <w:szCs w:val="20"/>
              </w:rPr>
            </w:pPr>
            <w:r>
              <w:rPr>
                <w:i/>
                <w:sz w:val="20"/>
                <w:szCs w:val="20"/>
              </w:rPr>
              <w:t xml:space="preserve">     </w:t>
            </w:r>
            <w:r w:rsidR="002C2484">
              <w:rPr>
                <w:i/>
                <w:sz w:val="20"/>
                <w:szCs w:val="20"/>
              </w:rPr>
              <w:t xml:space="preserve">2,0 </w:t>
            </w:r>
          </w:p>
        </w:tc>
        <w:tc>
          <w:tcPr>
            <w:tcW w:w="1017" w:type="dxa"/>
            <w:vAlign w:val="center"/>
          </w:tcPr>
          <w:p w:rsidR="002C2484" w:rsidRDefault="002C2484" w:rsidP="000D29B5">
            <w:pPr>
              <w:pStyle w:val="Default"/>
              <w:keepNext/>
              <w:rPr>
                <w:rFonts w:asciiTheme="majorHAnsi" w:eastAsiaTheme="majorEastAsia" w:hAnsiTheme="majorHAnsi" w:cstheme="majorBidi"/>
                <w:b/>
                <w:bCs/>
                <w:i/>
                <w:iCs/>
                <w:sz w:val="20"/>
                <w:szCs w:val="20"/>
              </w:rPr>
            </w:pPr>
            <w:r>
              <w:rPr>
                <w:i/>
                <w:sz w:val="20"/>
                <w:szCs w:val="20"/>
              </w:rPr>
              <w:t xml:space="preserve"> </w:t>
            </w:r>
            <w:r w:rsidR="000D29B5">
              <w:rPr>
                <w:i/>
                <w:sz w:val="20"/>
                <w:szCs w:val="20"/>
              </w:rPr>
              <w:t xml:space="preserve">   </w:t>
            </w:r>
            <w:r>
              <w:rPr>
                <w:i/>
                <w:sz w:val="20"/>
                <w:szCs w:val="20"/>
              </w:rPr>
              <w:t xml:space="preserve">2,5 </w:t>
            </w:r>
          </w:p>
        </w:tc>
        <w:tc>
          <w:tcPr>
            <w:tcW w:w="1017" w:type="dxa"/>
            <w:vAlign w:val="center"/>
          </w:tcPr>
          <w:p w:rsidR="002C2484" w:rsidRDefault="000D29B5" w:rsidP="000D29B5">
            <w:pPr>
              <w:pStyle w:val="Default"/>
              <w:keepNext/>
              <w:rPr>
                <w:rFonts w:asciiTheme="majorHAnsi" w:eastAsiaTheme="majorEastAsia" w:hAnsiTheme="majorHAnsi" w:cstheme="majorBidi"/>
                <w:b/>
                <w:bCs/>
                <w:i/>
                <w:iCs/>
                <w:sz w:val="20"/>
                <w:szCs w:val="20"/>
              </w:rPr>
            </w:pPr>
            <w:r>
              <w:rPr>
                <w:i/>
                <w:sz w:val="20"/>
                <w:szCs w:val="20"/>
              </w:rPr>
              <w:t xml:space="preserve">     </w:t>
            </w:r>
            <w:r w:rsidR="002C2484">
              <w:rPr>
                <w:i/>
                <w:sz w:val="20"/>
                <w:szCs w:val="20"/>
              </w:rPr>
              <w:t xml:space="preserve">2,9 </w:t>
            </w:r>
          </w:p>
        </w:tc>
        <w:tc>
          <w:tcPr>
            <w:tcW w:w="1017" w:type="dxa"/>
            <w:vAlign w:val="center"/>
          </w:tcPr>
          <w:p w:rsidR="002C2484" w:rsidRDefault="000D29B5" w:rsidP="000D29B5">
            <w:pPr>
              <w:pStyle w:val="Default"/>
              <w:keepNext/>
              <w:rPr>
                <w:rFonts w:asciiTheme="majorHAnsi" w:eastAsiaTheme="majorEastAsia" w:hAnsiTheme="majorHAnsi" w:cstheme="majorBidi"/>
                <w:b/>
                <w:bCs/>
                <w:i/>
                <w:iCs/>
                <w:sz w:val="20"/>
                <w:szCs w:val="20"/>
              </w:rPr>
            </w:pPr>
            <w:r>
              <w:rPr>
                <w:i/>
                <w:sz w:val="20"/>
                <w:szCs w:val="20"/>
              </w:rPr>
              <w:t xml:space="preserve">    </w:t>
            </w:r>
            <w:r w:rsidR="002C2484">
              <w:rPr>
                <w:i/>
                <w:sz w:val="20"/>
                <w:szCs w:val="20"/>
              </w:rPr>
              <w:t xml:space="preserve"> 2,6 </w:t>
            </w:r>
          </w:p>
        </w:tc>
      </w:tr>
    </w:tbl>
    <w:p w:rsidR="002C2484" w:rsidRDefault="002C2484" w:rsidP="002C2484">
      <w:pPr>
        <w:rPr>
          <w:b/>
        </w:rPr>
      </w:pPr>
      <w:r w:rsidRPr="00FE004E">
        <w:rPr>
          <w:i/>
        </w:rPr>
        <w:t>Allikas:</w:t>
      </w:r>
      <w:r>
        <w:t xml:space="preserve"> </w:t>
      </w:r>
      <w:r w:rsidRPr="00FE004E">
        <w:t>Rahandusministeeriumi 201</w:t>
      </w:r>
      <w:r>
        <w:t>6</w:t>
      </w:r>
      <w:r w:rsidRPr="00FE004E">
        <w:t>. aasta kevadine majandusprognoos</w:t>
      </w:r>
    </w:p>
    <w:p w:rsidR="00BE4F97" w:rsidRDefault="00BE4F97" w:rsidP="00BE4F97">
      <w:pPr>
        <w:autoSpaceDE w:val="0"/>
        <w:autoSpaceDN w:val="0"/>
        <w:adjustRightInd w:val="0"/>
        <w:jc w:val="both"/>
        <w:rPr>
          <w:b/>
        </w:rPr>
      </w:pPr>
    </w:p>
    <w:p w:rsidR="00BE4F97" w:rsidRDefault="00BE4F97" w:rsidP="00BE4F97">
      <w:pPr>
        <w:autoSpaceDE w:val="0"/>
        <w:autoSpaceDN w:val="0"/>
        <w:adjustRightInd w:val="0"/>
        <w:jc w:val="both"/>
        <w:rPr>
          <w:b/>
        </w:rPr>
      </w:pPr>
    </w:p>
    <w:p w:rsidR="00602BB5" w:rsidRPr="00FE004E" w:rsidRDefault="00C27267" w:rsidP="00BE4F97">
      <w:pPr>
        <w:autoSpaceDE w:val="0"/>
        <w:autoSpaceDN w:val="0"/>
        <w:adjustRightInd w:val="0"/>
        <w:jc w:val="both"/>
        <w:rPr>
          <w:b/>
        </w:rPr>
      </w:pPr>
      <w:r>
        <w:rPr>
          <w:b/>
        </w:rPr>
        <w:t>Meetmete mõju</w:t>
      </w:r>
    </w:p>
    <w:p w:rsidR="00602BB5" w:rsidRPr="00FE004E" w:rsidRDefault="00602BB5" w:rsidP="00602BB5">
      <w:pPr>
        <w:jc w:val="both"/>
      </w:pPr>
    </w:p>
    <w:p w:rsidR="00602BB5" w:rsidRPr="00FE004E" w:rsidRDefault="00C27267" w:rsidP="00602BB5">
      <w:pPr>
        <w:jc w:val="both"/>
      </w:pPr>
      <w:r>
        <w:t xml:space="preserve">Eesti 2020 koostamisel võeti Euroopa 2020 strateegia eesmärkide täitmiseks oluliselt ambitsioonikamad sihttasemed võrreldes 2011. aasta kevadise </w:t>
      </w:r>
      <w:r w:rsidRPr="00FE004E">
        <w:t>majandusprognoosi</w:t>
      </w:r>
      <w:r>
        <w:t>ga.</w:t>
      </w:r>
      <w:r w:rsidRPr="00FE004E">
        <w:t xml:space="preserve"> Sihtide seadmisel </w:t>
      </w:r>
      <w:r>
        <w:t>eeldati</w:t>
      </w:r>
      <w:r w:rsidRPr="00FE004E">
        <w:t xml:space="preserve">, et nende saavutamiseks on vajalik rakendada uusi meetmeid ja läbi viia reforme. </w:t>
      </w:r>
      <w:r>
        <w:t>M</w:t>
      </w:r>
      <w:r w:rsidRPr="00FE004E">
        <w:t xml:space="preserve">eetmete ja reformide </w:t>
      </w:r>
      <w:r>
        <w:t xml:space="preserve">oodatud </w:t>
      </w:r>
      <w:r w:rsidRPr="00FE004E">
        <w:t>kogumõju peamiste</w:t>
      </w:r>
      <w:r>
        <w:t>le</w:t>
      </w:r>
      <w:r w:rsidRPr="00FE004E">
        <w:t xml:space="preserve"> majandusnäitajate</w:t>
      </w:r>
      <w:r>
        <w:t>le</w:t>
      </w:r>
      <w:r w:rsidRPr="00FE004E">
        <w:t xml:space="preserve"> </w:t>
      </w:r>
      <w:r>
        <w:t xml:space="preserve"> on kokku </w:t>
      </w:r>
      <w:r w:rsidRPr="00FE004E">
        <w:t>võetud järgnevas tabelis.</w:t>
      </w:r>
      <w:r>
        <w:t xml:space="preserve"> Mõjuanalüüse ei ole pärast 2011.aastat uuendatud.</w:t>
      </w:r>
    </w:p>
    <w:p w:rsidR="00602BB5" w:rsidRPr="00FE004E" w:rsidRDefault="00602BB5" w:rsidP="00602BB5">
      <w:pPr>
        <w:jc w:val="both"/>
      </w:pPr>
    </w:p>
    <w:p w:rsidR="00602BB5" w:rsidRPr="00FE004E" w:rsidRDefault="00602BB5" w:rsidP="00602BB5">
      <w:pPr>
        <w:rPr>
          <w:rFonts w:ascii="Garamond" w:hAnsi="Garamond" w:cs="Garamond"/>
        </w:rPr>
      </w:pPr>
      <w:r w:rsidRPr="00FE004E">
        <w:rPr>
          <w:rFonts w:ascii="Garamond" w:hAnsi="Garamond" w:cs="Garamond"/>
          <w:b/>
        </w:rPr>
        <w:t>Tabel 2.</w:t>
      </w:r>
      <w:r w:rsidRPr="00FE004E">
        <w:rPr>
          <w:rFonts w:ascii="Garamond" w:hAnsi="Garamond" w:cs="Garamond"/>
        </w:rPr>
        <w:t xml:space="preserve"> </w:t>
      </w:r>
      <w:r w:rsidR="00C27267" w:rsidRPr="00FE004E">
        <w:rPr>
          <w:rFonts w:ascii="Garamond" w:hAnsi="Garamond" w:cs="Garamond"/>
        </w:rPr>
        <w:t>Eesti 2020</w:t>
      </w:r>
      <w:r w:rsidR="00C27267">
        <w:rPr>
          <w:rFonts w:ascii="Garamond" w:hAnsi="Garamond" w:cs="Garamond"/>
        </w:rPr>
        <w:t xml:space="preserve"> täitmise  </w:t>
      </w:r>
      <w:r w:rsidR="00C27267" w:rsidRPr="00FE004E">
        <w:rPr>
          <w:rFonts w:ascii="Garamond" w:hAnsi="Garamond" w:cs="Garamond"/>
        </w:rPr>
        <w:t>positiivne stsenaarium</w:t>
      </w:r>
      <w:r w:rsidR="00C27267">
        <w:rPr>
          <w:rFonts w:ascii="Garamond" w:hAnsi="Garamond" w:cs="Garamond"/>
        </w:rPr>
        <w:t xml:space="preserve"> 2011.a baastasemetega võrreldes</w:t>
      </w:r>
    </w:p>
    <w:p w:rsidR="00602BB5" w:rsidRPr="00FE004E" w:rsidRDefault="00602BB5" w:rsidP="00602BB5">
      <w:pPr>
        <w:rPr>
          <w:rFonts w:ascii="Garamond" w:hAnsi="Garamond" w:cs="Garamond"/>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20"/>
        <w:gridCol w:w="720"/>
        <w:gridCol w:w="720"/>
        <w:gridCol w:w="720"/>
        <w:gridCol w:w="721"/>
        <w:gridCol w:w="720"/>
        <w:gridCol w:w="720"/>
        <w:gridCol w:w="720"/>
        <w:gridCol w:w="720"/>
        <w:gridCol w:w="721"/>
      </w:tblGrid>
      <w:tr w:rsidR="00602BB5" w:rsidRPr="00FE004E" w:rsidTr="00E673FE">
        <w:trPr>
          <w:trHeight w:val="465"/>
        </w:trPr>
        <w:tc>
          <w:tcPr>
            <w:tcW w:w="2088" w:type="dxa"/>
            <w:vAlign w:val="center"/>
          </w:tcPr>
          <w:p w:rsidR="00602BB5" w:rsidRPr="00FE004E" w:rsidRDefault="00602BB5" w:rsidP="00E673FE">
            <w:pPr>
              <w:rPr>
                <w:b/>
                <w:sz w:val="20"/>
                <w:szCs w:val="20"/>
              </w:rPr>
            </w:pPr>
            <w:r w:rsidRPr="00FE004E">
              <w:rPr>
                <w:b/>
                <w:sz w:val="20"/>
                <w:szCs w:val="20"/>
              </w:rPr>
              <w:t>%</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2011</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2012</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2013</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2014</w:t>
            </w:r>
          </w:p>
        </w:tc>
        <w:tc>
          <w:tcPr>
            <w:tcW w:w="721" w:type="dxa"/>
            <w:vAlign w:val="center"/>
          </w:tcPr>
          <w:p w:rsidR="00602BB5" w:rsidRPr="00FE004E" w:rsidRDefault="00602BB5" w:rsidP="00E673FE">
            <w:pPr>
              <w:jc w:val="right"/>
              <w:rPr>
                <w:b/>
                <w:color w:val="000000"/>
                <w:sz w:val="20"/>
                <w:szCs w:val="20"/>
              </w:rPr>
            </w:pPr>
            <w:r w:rsidRPr="00FE004E">
              <w:rPr>
                <w:b/>
                <w:color w:val="000000"/>
                <w:sz w:val="20"/>
                <w:szCs w:val="20"/>
              </w:rPr>
              <w:t>2015</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2016</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2017</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2018</w:t>
            </w:r>
          </w:p>
        </w:tc>
        <w:tc>
          <w:tcPr>
            <w:tcW w:w="720" w:type="dxa"/>
            <w:vAlign w:val="center"/>
          </w:tcPr>
          <w:p w:rsidR="00602BB5" w:rsidRPr="00FE004E" w:rsidRDefault="00602BB5" w:rsidP="00E673FE">
            <w:pPr>
              <w:jc w:val="right"/>
              <w:rPr>
                <w:b/>
                <w:color w:val="000000"/>
                <w:sz w:val="20"/>
                <w:szCs w:val="20"/>
              </w:rPr>
            </w:pPr>
            <w:r w:rsidRPr="00FE004E">
              <w:rPr>
                <w:b/>
                <w:color w:val="000000"/>
                <w:sz w:val="20"/>
                <w:szCs w:val="20"/>
              </w:rPr>
              <w:t>2019</w:t>
            </w:r>
          </w:p>
        </w:tc>
        <w:tc>
          <w:tcPr>
            <w:tcW w:w="721" w:type="dxa"/>
            <w:vAlign w:val="center"/>
          </w:tcPr>
          <w:p w:rsidR="00602BB5" w:rsidRPr="00FE004E" w:rsidRDefault="00602BB5" w:rsidP="00E673FE">
            <w:pPr>
              <w:jc w:val="right"/>
              <w:rPr>
                <w:b/>
                <w:color w:val="000000"/>
                <w:sz w:val="20"/>
                <w:szCs w:val="20"/>
              </w:rPr>
            </w:pPr>
            <w:r w:rsidRPr="00FE004E">
              <w:rPr>
                <w:b/>
                <w:color w:val="000000"/>
                <w:sz w:val="20"/>
                <w:szCs w:val="20"/>
              </w:rPr>
              <w:t>2020</w:t>
            </w:r>
          </w:p>
        </w:tc>
      </w:tr>
      <w:tr w:rsidR="00602BB5" w:rsidRPr="00FE004E" w:rsidTr="00E673FE">
        <w:trPr>
          <w:trHeight w:val="465"/>
        </w:trPr>
        <w:tc>
          <w:tcPr>
            <w:tcW w:w="2088" w:type="dxa"/>
            <w:vAlign w:val="center"/>
          </w:tcPr>
          <w:p w:rsidR="00602BB5" w:rsidRPr="00FE004E" w:rsidRDefault="00602BB5" w:rsidP="00E673FE">
            <w:pPr>
              <w:rPr>
                <w:color w:val="000000"/>
                <w:sz w:val="20"/>
                <w:szCs w:val="20"/>
              </w:rPr>
            </w:pPr>
            <w:r w:rsidRPr="00FE004E">
              <w:rPr>
                <w:color w:val="000000"/>
                <w:sz w:val="20"/>
                <w:szCs w:val="20"/>
              </w:rPr>
              <w:t>SKP reaalkasv</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4,0</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4,0</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3,7</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3,7</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3,6</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3,6</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3,7</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3,8</w:t>
            </w:r>
          </w:p>
        </w:tc>
      </w:tr>
      <w:tr w:rsidR="00602BB5" w:rsidRPr="00FE004E" w:rsidTr="00E673FE">
        <w:trPr>
          <w:trHeight w:val="465"/>
        </w:trPr>
        <w:tc>
          <w:tcPr>
            <w:tcW w:w="2088" w:type="dxa"/>
            <w:vAlign w:val="center"/>
          </w:tcPr>
          <w:p w:rsidR="00602BB5" w:rsidRPr="00FE004E" w:rsidRDefault="00602BB5" w:rsidP="00E673FE">
            <w:pPr>
              <w:rPr>
                <w:color w:val="000000"/>
                <w:sz w:val="20"/>
                <w:szCs w:val="20"/>
              </w:rPr>
            </w:pPr>
            <w:r w:rsidRPr="00FE004E">
              <w:rPr>
                <w:color w:val="000000"/>
                <w:sz w:val="20"/>
                <w:szCs w:val="20"/>
              </w:rPr>
              <w:t>Tööviljakuse kasv</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1,8</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2,1</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2,5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2,7</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2,7</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3,4</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3,6</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3,6</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3,5</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3,5</w:t>
            </w:r>
          </w:p>
        </w:tc>
      </w:tr>
      <w:tr w:rsidR="00602BB5" w:rsidRPr="00FE004E" w:rsidTr="00E673FE">
        <w:trPr>
          <w:trHeight w:val="465"/>
        </w:trPr>
        <w:tc>
          <w:tcPr>
            <w:tcW w:w="2088" w:type="dxa"/>
            <w:vAlign w:val="center"/>
          </w:tcPr>
          <w:p w:rsidR="00602BB5" w:rsidRPr="00FE004E" w:rsidRDefault="00602BB5" w:rsidP="00E673FE">
            <w:pPr>
              <w:rPr>
                <w:color w:val="000000"/>
                <w:sz w:val="20"/>
                <w:szCs w:val="20"/>
              </w:rPr>
            </w:pPr>
            <w:r w:rsidRPr="00FE004E">
              <w:rPr>
                <w:color w:val="000000"/>
                <w:sz w:val="20"/>
                <w:szCs w:val="20"/>
              </w:rPr>
              <w:t>Hõivatute arvu kasv</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2,2</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1,9</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1,1</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1,0</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0,9</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0,0</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-0,2</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0,0</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0,2</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0,3</w:t>
            </w:r>
          </w:p>
        </w:tc>
      </w:tr>
      <w:tr w:rsidR="00602BB5" w:rsidRPr="00FE004E" w:rsidTr="00E673FE">
        <w:trPr>
          <w:trHeight w:val="465"/>
        </w:trPr>
        <w:tc>
          <w:tcPr>
            <w:tcW w:w="2088" w:type="dxa"/>
            <w:vAlign w:val="center"/>
          </w:tcPr>
          <w:p w:rsidR="00602BB5" w:rsidRPr="00FE004E" w:rsidRDefault="00602BB5" w:rsidP="00E673FE">
            <w:pPr>
              <w:rPr>
                <w:sz w:val="20"/>
                <w:szCs w:val="20"/>
              </w:rPr>
            </w:pPr>
            <w:r w:rsidRPr="00FE004E">
              <w:rPr>
                <w:color w:val="000000"/>
                <w:sz w:val="20"/>
                <w:szCs w:val="20"/>
              </w:rPr>
              <w:t>Töötuse määr</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13,5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11,4</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9,9</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8,6</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7,7</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7,4</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7,2</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7,0</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6,9</w:t>
            </w:r>
          </w:p>
        </w:tc>
      </w:tr>
      <w:tr w:rsidR="00602BB5" w:rsidRPr="00FE004E" w:rsidTr="00E673FE">
        <w:trPr>
          <w:trHeight w:val="465"/>
        </w:trPr>
        <w:tc>
          <w:tcPr>
            <w:tcW w:w="2088" w:type="dxa"/>
            <w:vAlign w:val="center"/>
          </w:tcPr>
          <w:p w:rsidR="00602BB5" w:rsidRPr="00FE004E" w:rsidRDefault="00602BB5" w:rsidP="00E673FE">
            <w:pPr>
              <w:rPr>
                <w:color w:val="000000"/>
                <w:sz w:val="20"/>
                <w:szCs w:val="20"/>
              </w:rPr>
            </w:pPr>
            <w:r w:rsidRPr="00FE004E">
              <w:rPr>
                <w:color w:val="000000"/>
                <w:sz w:val="20"/>
                <w:szCs w:val="20"/>
              </w:rPr>
              <w:t>Ekspordi reaalkasv</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15,9</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5,5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8,2</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9,1</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9,7</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9,3</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9,2</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9,2</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9,1</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9,0</w:t>
            </w:r>
          </w:p>
        </w:tc>
      </w:tr>
      <w:tr w:rsidR="00602BB5" w:rsidRPr="00FE004E" w:rsidTr="00E673FE">
        <w:trPr>
          <w:trHeight w:val="465"/>
        </w:trPr>
        <w:tc>
          <w:tcPr>
            <w:tcW w:w="2088" w:type="dxa"/>
            <w:vAlign w:val="center"/>
          </w:tcPr>
          <w:p w:rsidR="00602BB5" w:rsidRPr="00FE004E" w:rsidRDefault="00602BB5" w:rsidP="00E673FE">
            <w:pPr>
              <w:rPr>
                <w:color w:val="000000"/>
                <w:sz w:val="20"/>
                <w:szCs w:val="20"/>
              </w:rPr>
            </w:pPr>
            <w:r w:rsidRPr="00FE004E">
              <w:rPr>
                <w:color w:val="000000"/>
                <w:sz w:val="20"/>
                <w:szCs w:val="20"/>
              </w:rPr>
              <w:t>Tootlikkus EL27st</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69,6</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70,1</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70,7</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71,6</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72,4</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73,8</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75,4</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76,9</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78,4</w:t>
            </w:r>
          </w:p>
        </w:tc>
        <w:tc>
          <w:tcPr>
            <w:tcW w:w="721" w:type="dxa"/>
            <w:vAlign w:val="center"/>
          </w:tcPr>
          <w:p w:rsidR="00602BB5" w:rsidRPr="00FE004E" w:rsidRDefault="00602BB5" w:rsidP="00E673FE">
            <w:pPr>
              <w:jc w:val="right"/>
              <w:rPr>
                <w:b/>
                <w:bCs/>
                <w:color w:val="000000"/>
                <w:sz w:val="20"/>
                <w:szCs w:val="20"/>
              </w:rPr>
            </w:pPr>
            <w:r w:rsidRPr="00FE004E">
              <w:rPr>
                <w:b/>
                <w:bCs/>
                <w:color w:val="000000"/>
                <w:sz w:val="20"/>
                <w:szCs w:val="20"/>
              </w:rPr>
              <w:t>80,0</w:t>
            </w:r>
          </w:p>
        </w:tc>
      </w:tr>
      <w:tr w:rsidR="00602BB5" w:rsidRPr="00FE004E" w:rsidTr="00E673FE">
        <w:trPr>
          <w:trHeight w:val="465"/>
        </w:trPr>
        <w:tc>
          <w:tcPr>
            <w:tcW w:w="2088" w:type="dxa"/>
            <w:vAlign w:val="center"/>
          </w:tcPr>
          <w:p w:rsidR="00602BB5" w:rsidRPr="00FE004E" w:rsidRDefault="00602BB5" w:rsidP="00E673FE">
            <w:pPr>
              <w:rPr>
                <w:color w:val="000000"/>
                <w:sz w:val="20"/>
                <w:szCs w:val="20"/>
              </w:rPr>
            </w:pPr>
            <w:r w:rsidRPr="00FE004E">
              <w:rPr>
                <w:color w:val="000000"/>
                <w:sz w:val="20"/>
                <w:szCs w:val="20"/>
              </w:rPr>
              <w:t>Tööhõive määr, 20-64a</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67,8</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69,1</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70,1</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71,2</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72,5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73,0</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73,5</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74,3</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75,1</w:t>
            </w:r>
          </w:p>
        </w:tc>
        <w:tc>
          <w:tcPr>
            <w:tcW w:w="721" w:type="dxa"/>
            <w:vAlign w:val="center"/>
          </w:tcPr>
          <w:p w:rsidR="00602BB5" w:rsidRPr="00FE004E" w:rsidRDefault="00602BB5" w:rsidP="00E673FE">
            <w:pPr>
              <w:jc w:val="right"/>
              <w:rPr>
                <w:b/>
                <w:bCs/>
                <w:color w:val="000000"/>
                <w:sz w:val="20"/>
                <w:szCs w:val="20"/>
              </w:rPr>
            </w:pPr>
            <w:r w:rsidRPr="00FE004E">
              <w:rPr>
                <w:b/>
                <w:bCs/>
                <w:color w:val="000000"/>
                <w:sz w:val="20"/>
                <w:szCs w:val="20"/>
              </w:rPr>
              <w:t>76,0</w:t>
            </w:r>
          </w:p>
        </w:tc>
      </w:tr>
      <w:tr w:rsidR="00602BB5" w:rsidRPr="00FE004E" w:rsidTr="00E673FE">
        <w:trPr>
          <w:trHeight w:val="465"/>
        </w:trPr>
        <w:tc>
          <w:tcPr>
            <w:tcW w:w="2088" w:type="dxa"/>
            <w:vAlign w:val="center"/>
          </w:tcPr>
          <w:p w:rsidR="00602BB5" w:rsidRPr="00FE004E" w:rsidRDefault="00602BB5" w:rsidP="00E673FE">
            <w:pPr>
              <w:rPr>
                <w:color w:val="000000"/>
                <w:sz w:val="20"/>
                <w:szCs w:val="20"/>
              </w:rPr>
            </w:pPr>
            <w:r w:rsidRPr="00FE004E">
              <w:rPr>
                <w:color w:val="000000"/>
                <w:sz w:val="20"/>
                <w:szCs w:val="20"/>
              </w:rPr>
              <w:t>osakaal maailmakaubanduses</w:t>
            </w:r>
          </w:p>
        </w:tc>
        <w:tc>
          <w:tcPr>
            <w:tcW w:w="720" w:type="dxa"/>
            <w:vAlign w:val="center"/>
          </w:tcPr>
          <w:p w:rsidR="00602BB5" w:rsidRPr="00FE004E" w:rsidRDefault="00602BB5" w:rsidP="00E673FE">
            <w:pPr>
              <w:jc w:val="right"/>
              <w:rPr>
                <w:bCs/>
                <w:color w:val="000000"/>
                <w:sz w:val="20"/>
                <w:szCs w:val="20"/>
              </w:rPr>
            </w:pPr>
            <w:r w:rsidRPr="00FE004E">
              <w:rPr>
                <w:bCs/>
                <w:color w:val="000000"/>
                <w:sz w:val="20"/>
                <w:szCs w:val="20"/>
              </w:rPr>
              <w:t>0,099</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0,097</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0,097</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0,099</w:t>
            </w:r>
          </w:p>
        </w:tc>
        <w:tc>
          <w:tcPr>
            <w:tcW w:w="721" w:type="dxa"/>
            <w:vAlign w:val="center"/>
          </w:tcPr>
          <w:p w:rsidR="00602BB5" w:rsidRPr="00FE004E" w:rsidRDefault="00602BB5" w:rsidP="00E673FE">
            <w:pPr>
              <w:jc w:val="right"/>
              <w:rPr>
                <w:color w:val="000000"/>
                <w:sz w:val="20"/>
                <w:szCs w:val="20"/>
              </w:rPr>
            </w:pPr>
            <w:r w:rsidRPr="00FE004E">
              <w:rPr>
                <w:color w:val="000000"/>
                <w:sz w:val="20"/>
                <w:szCs w:val="20"/>
              </w:rPr>
              <w:t>0,101</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0,102</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0,104</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0,106</w:t>
            </w:r>
          </w:p>
        </w:tc>
        <w:tc>
          <w:tcPr>
            <w:tcW w:w="720" w:type="dxa"/>
            <w:vAlign w:val="center"/>
          </w:tcPr>
          <w:p w:rsidR="00602BB5" w:rsidRPr="00FE004E" w:rsidRDefault="00602BB5" w:rsidP="00E673FE">
            <w:pPr>
              <w:jc w:val="right"/>
              <w:rPr>
                <w:color w:val="000000"/>
                <w:sz w:val="20"/>
                <w:szCs w:val="20"/>
              </w:rPr>
            </w:pPr>
            <w:r w:rsidRPr="00FE004E">
              <w:rPr>
                <w:color w:val="000000"/>
                <w:sz w:val="20"/>
                <w:szCs w:val="20"/>
              </w:rPr>
              <w:t>0,108</w:t>
            </w:r>
          </w:p>
        </w:tc>
        <w:tc>
          <w:tcPr>
            <w:tcW w:w="721" w:type="dxa"/>
            <w:vAlign w:val="center"/>
          </w:tcPr>
          <w:p w:rsidR="00602BB5" w:rsidRPr="00FE004E" w:rsidRDefault="00602BB5" w:rsidP="00E673FE">
            <w:pPr>
              <w:jc w:val="right"/>
              <w:rPr>
                <w:b/>
                <w:color w:val="000000"/>
                <w:sz w:val="20"/>
                <w:szCs w:val="20"/>
              </w:rPr>
            </w:pPr>
            <w:r w:rsidRPr="00FE004E">
              <w:rPr>
                <w:b/>
                <w:color w:val="000000"/>
                <w:sz w:val="20"/>
                <w:szCs w:val="20"/>
              </w:rPr>
              <w:t>0,110</w:t>
            </w:r>
          </w:p>
        </w:tc>
      </w:tr>
    </w:tbl>
    <w:p w:rsidR="00602BB5" w:rsidRPr="00FE004E" w:rsidRDefault="00602BB5" w:rsidP="00602BB5">
      <w:r w:rsidRPr="00FE004E">
        <w:rPr>
          <w:i/>
        </w:rPr>
        <w:t>Allikas:</w:t>
      </w:r>
      <w:r w:rsidRPr="00FE004E">
        <w:t xml:space="preserve"> Rahandusministeerium ja Riigikantselei (2011.a kevad)</w:t>
      </w:r>
    </w:p>
    <w:p w:rsidR="00602BB5" w:rsidRPr="00FE004E" w:rsidRDefault="00602BB5" w:rsidP="00602BB5">
      <w:pPr>
        <w:jc w:val="both"/>
      </w:pPr>
    </w:p>
    <w:p w:rsidR="00FB16AD" w:rsidRDefault="008F027B" w:rsidP="003D6D32">
      <w:pPr>
        <w:pStyle w:val="ldpealkirjaalapealkiri"/>
        <w:rPr>
          <w:b/>
          <w:bCs/>
        </w:rPr>
      </w:pPr>
      <w:r>
        <w:rPr>
          <w:b/>
          <w:bCs/>
        </w:rPr>
        <w:br w:type="page"/>
      </w:r>
      <w:r w:rsidR="008D5ABD" w:rsidRPr="00DB610C">
        <w:rPr>
          <w:b/>
          <w:bCs/>
        </w:rPr>
        <w:lastRenderedPageBreak/>
        <w:t>PIKAAJALISED majanduspoliitika eesmärgid</w:t>
      </w:r>
    </w:p>
    <w:p w:rsidR="008B26C7" w:rsidRDefault="008B26C7" w:rsidP="005069AF">
      <w:pPr>
        <w:jc w:val="both"/>
        <w:rPr>
          <w:bCs/>
        </w:rPr>
      </w:pPr>
    </w:p>
    <w:p w:rsidR="00A567F7" w:rsidRDefault="00A567F7" w:rsidP="005069AF">
      <w:pPr>
        <w:jc w:val="both"/>
      </w:pPr>
      <w:r w:rsidRPr="006B7C79">
        <w:rPr>
          <w:bCs/>
        </w:rPr>
        <w:t xml:space="preserve">SKP kasvu mõjutavad kolm peamist tegurite gruppi on: 1) demograafilised tegurid, 2) tööjõu rakendatuse tase (mis on suures osas kirjeldatud tööhõive taseme ning inimeste töötundide arvuga) ning 3) </w:t>
      </w:r>
      <w:r w:rsidR="006E11F7">
        <w:rPr>
          <w:bCs/>
        </w:rPr>
        <w:t>tunni</w:t>
      </w:r>
      <w:r w:rsidRPr="006B7C79">
        <w:rPr>
          <w:bCs/>
        </w:rPr>
        <w:t xml:space="preserve">tootlikkus. </w:t>
      </w:r>
      <w:r w:rsidR="005069AF" w:rsidRPr="006B7C79">
        <w:t>Eesti SKP kasvu kuni 2007. aastani mõjutasid ennekõike muudatused töötavate inimeste arvus n</w:t>
      </w:r>
      <w:r w:rsidR="005069AF">
        <w:t>ing tööjõu tootlikkuses. Majanduskriisile eelnenud</w:t>
      </w:r>
      <w:r w:rsidR="005069AF" w:rsidRPr="006B7C79">
        <w:t xml:space="preserve"> SKP kasvule on kõige suuremat mõju avaldanud just tootlikkuse järjepidev tõus.  </w:t>
      </w:r>
    </w:p>
    <w:p w:rsidR="005069AF" w:rsidRDefault="005069AF" w:rsidP="005069AF">
      <w:pPr>
        <w:jc w:val="both"/>
      </w:pPr>
    </w:p>
    <w:p w:rsidR="005069AF" w:rsidRDefault="005069AF" w:rsidP="005069AF">
      <w:pPr>
        <w:jc w:val="both"/>
      </w:pPr>
      <w:r w:rsidRPr="00CF0F9B">
        <w:t>Eesti</w:t>
      </w:r>
      <w:r w:rsidR="00F35BF9">
        <w:t xml:space="preserve"> tulevased</w:t>
      </w:r>
      <w:r w:rsidRPr="00CF0F9B">
        <w:t xml:space="preserve"> </w:t>
      </w:r>
      <w:r>
        <w:t xml:space="preserve">demograafilised trendid sarnanevad Euroopa üldiste trendidega. </w:t>
      </w:r>
      <w:r w:rsidRPr="006B7C79">
        <w:t xml:space="preserve">Iibe langus 1990ndatel ei ole tänaseks tööealise elanikkonna osakaalu veel mõjutanud, kuid märkimisväärne mõju ilmneb juba lähiaastatel. </w:t>
      </w:r>
      <w:r>
        <w:t>R</w:t>
      </w:r>
      <w:r w:rsidRPr="00CF0F9B">
        <w:t>ahvastiku vähenemine toimub põhiliselt tööealiste inimeste (15-64-aastaste) arvelt</w:t>
      </w:r>
      <w:r>
        <w:t xml:space="preserve"> ning</w:t>
      </w:r>
      <w:r w:rsidRPr="00CF0F9B">
        <w:t xml:space="preserve"> </w:t>
      </w:r>
      <w:r>
        <w:t>2</w:t>
      </w:r>
      <w:r w:rsidRPr="00CF0F9B">
        <w:t xml:space="preserve">0 aasta </w:t>
      </w:r>
      <w:r>
        <w:t xml:space="preserve">pärast elab </w:t>
      </w:r>
      <w:proofErr w:type="spellStart"/>
      <w:r w:rsidR="00AF0911">
        <w:t>Eurostati</w:t>
      </w:r>
      <w:proofErr w:type="spellEnd"/>
      <w:r w:rsidR="00AF0911">
        <w:t xml:space="preserve"> </w:t>
      </w:r>
      <w:r w:rsidRPr="00CF0F9B">
        <w:t xml:space="preserve">prognooside kohaselt Eestis </w:t>
      </w:r>
      <w:r w:rsidR="006C535D">
        <w:t xml:space="preserve">üle </w:t>
      </w:r>
      <w:r w:rsidR="007A4E16">
        <w:t>1</w:t>
      </w:r>
      <w:r>
        <w:t>0</w:t>
      </w:r>
      <w:r w:rsidR="006C535D">
        <w:t>0</w:t>
      </w:r>
      <w:r>
        <w:t> 000 tööealis</w:t>
      </w:r>
      <w:r w:rsidR="006C535D">
        <w:t>e</w:t>
      </w:r>
      <w:r>
        <w:t xml:space="preserve"> inimes</w:t>
      </w:r>
      <w:r w:rsidR="006C535D">
        <w:t>e</w:t>
      </w:r>
      <w:r>
        <w:t xml:space="preserve"> vähem.</w:t>
      </w:r>
      <w:r w:rsidRPr="00CF0F9B">
        <w:t xml:space="preserve"> </w:t>
      </w:r>
      <w:r w:rsidRPr="006B7C79">
        <w:t>Samas seab</w:t>
      </w:r>
      <w:r w:rsidR="00F35BF9">
        <w:t xml:space="preserve"> suhteliselt kõrge</w:t>
      </w:r>
      <w:r w:rsidRPr="006B7C79">
        <w:t xml:space="preserve"> mittekodanike osakaal Eestis selged piirid välistööjõu sissetoomise võimalustele, mida mitmed Euroopa Liidu liikmesriigid on tööjõu pakkumise suurendamiseks kasutanud. </w:t>
      </w:r>
    </w:p>
    <w:p w:rsidR="005069AF" w:rsidRDefault="005069AF" w:rsidP="005069AF">
      <w:pPr>
        <w:pStyle w:val="BodyText"/>
        <w:spacing w:after="0"/>
        <w:jc w:val="both"/>
        <w:rPr>
          <w:b/>
        </w:rPr>
      </w:pPr>
    </w:p>
    <w:p w:rsidR="00E955A3" w:rsidRDefault="00E955A3" w:rsidP="005069AF">
      <w:pPr>
        <w:pStyle w:val="BodyText"/>
        <w:spacing w:after="0"/>
        <w:jc w:val="both"/>
        <w:rPr>
          <w:b/>
        </w:rPr>
      </w:pPr>
    </w:p>
    <w:p w:rsidR="005069AF" w:rsidRPr="00922764" w:rsidRDefault="005069AF" w:rsidP="005069AF">
      <w:pPr>
        <w:pStyle w:val="BodyText"/>
        <w:spacing w:after="0"/>
        <w:jc w:val="both"/>
        <w:rPr>
          <w:b/>
        </w:rPr>
      </w:pPr>
      <w:r w:rsidRPr="00922764">
        <w:rPr>
          <w:b/>
        </w:rPr>
        <w:t>Tabel</w:t>
      </w:r>
      <w:r w:rsidR="005A18A2">
        <w:rPr>
          <w:b/>
        </w:rPr>
        <w:t xml:space="preserve"> 2</w:t>
      </w:r>
      <w:r w:rsidRPr="00922764">
        <w:rPr>
          <w:b/>
        </w:rPr>
        <w:t xml:space="preserve">. Tööealise elanikkonna </w:t>
      </w:r>
      <w:r w:rsidR="00922764">
        <w:rPr>
          <w:b/>
        </w:rPr>
        <w:t>muutus</w:t>
      </w:r>
      <w:r w:rsidRPr="00922764">
        <w:rPr>
          <w:b/>
        </w:rPr>
        <w:t xml:space="preserve"> kuni 2030. aastani</w:t>
      </w:r>
    </w:p>
    <w:tbl>
      <w:tblPr>
        <w:tblW w:w="8825" w:type="dxa"/>
        <w:tblInd w:w="65" w:type="dxa"/>
        <w:tblCellMar>
          <w:left w:w="70" w:type="dxa"/>
          <w:right w:w="70" w:type="dxa"/>
        </w:tblCellMar>
        <w:tblLook w:val="0000"/>
      </w:tblPr>
      <w:tblGrid>
        <w:gridCol w:w="1900"/>
        <w:gridCol w:w="2065"/>
        <w:gridCol w:w="2520"/>
        <w:gridCol w:w="2340"/>
      </w:tblGrid>
      <w:tr w:rsidR="005069AF" w:rsidRPr="00CF0F9B" w:rsidTr="00BA453A">
        <w:trPr>
          <w:trHeight w:val="436"/>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69AF" w:rsidRPr="00CF0F9B" w:rsidRDefault="005069AF" w:rsidP="00BA453A">
            <w:pPr>
              <w:jc w:val="both"/>
            </w:pPr>
            <w:r w:rsidRPr="00CF0F9B">
              <w:t> </w:t>
            </w:r>
          </w:p>
        </w:tc>
        <w:tc>
          <w:tcPr>
            <w:tcW w:w="2065" w:type="dxa"/>
            <w:tcBorders>
              <w:top w:val="single" w:sz="4" w:space="0" w:color="auto"/>
              <w:left w:val="nil"/>
              <w:bottom w:val="single" w:sz="4" w:space="0" w:color="auto"/>
              <w:right w:val="single" w:sz="4" w:space="0" w:color="auto"/>
            </w:tcBorders>
            <w:shd w:val="clear" w:color="auto" w:fill="auto"/>
            <w:vAlign w:val="bottom"/>
          </w:tcPr>
          <w:p w:rsidR="005069AF" w:rsidRPr="00D5418A" w:rsidRDefault="00D326D2" w:rsidP="00BA453A">
            <w:pPr>
              <w:jc w:val="both"/>
              <w:rPr>
                <w:bCs/>
              </w:rPr>
            </w:pPr>
            <w:r>
              <w:rPr>
                <w:bCs/>
              </w:rPr>
              <w:t>Tööealine elanikkond (</w:t>
            </w:r>
            <w:r w:rsidR="006163FE">
              <w:rPr>
                <w:bCs/>
              </w:rPr>
              <w:t>15</w:t>
            </w:r>
            <w:r w:rsidR="005069AF" w:rsidRPr="00D5418A">
              <w:rPr>
                <w:bCs/>
              </w:rPr>
              <w:t>-64)</w:t>
            </w:r>
          </w:p>
        </w:tc>
        <w:tc>
          <w:tcPr>
            <w:tcW w:w="2520" w:type="dxa"/>
            <w:tcBorders>
              <w:top w:val="single" w:sz="4" w:space="0" w:color="auto"/>
              <w:left w:val="nil"/>
              <w:bottom w:val="single" w:sz="4" w:space="0" w:color="auto"/>
              <w:right w:val="single" w:sz="4" w:space="0" w:color="auto"/>
            </w:tcBorders>
            <w:shd w:val="clear" w:color="auto" w:fill="auto"/>
            <w:vAlign w:val="bottom"/>
          </w:tcPr>
          <w:p w:rsidR="005069AF" w:rsidRPr="00D5418A" w:rsidRDefault="005069AF" w:rsidP="00BA453A">
            <w:pPr>
              <w:jc w:val="both"/>
              <w:rPr>
                <w:bCs/>
              </w:rPr>
            </w:pPr>
            <w:r>
              <w:rPr>
                <w:bCs/>
              </w:rPr>
              <w:t>Vä</w:t>
            </w:r>
            <w:r w:rsidR="00D326D2">
              <w:rPr>
                <w:bCs/>
              </w:rPr>
              <w:t>henemine võrreldes 2010</w:t>
            </w:r>
            <w:r w:rsidRPr="00D5418A">
              <w:rPr>
                <w:bCs/>
              </w:rPr>
              <w:t>. aastaga</w:t>
            </w:r>
          </w:p>
        </w:tc>
        <w:tc>
          <w:tcPr>
            <w:tcW w:w="2340" w:type="dxa"/>
            <w:tcBorders>
              <w:top w:val="single" w:sz="4" w:space="0" w:color="auto"/>
              <w:left w:val="nil"/>
              <w:bottom w:val="single" w:sz="4" w:space="0" w:color="auto"/>
              <w:right w:val="single" w:sz="4" w:space="0" w:color="auto"/>
            </w:tcBorders>
            <w:shd w:val="clear" w:color="auto" w:fill="auto"/>
            <w:vAlign w:val="bottom"/>
          </w:tcPr>
          <w:p w:rsidR="005069AF" w:rsidRPr="00D5418A" w:rsidRDefault="005069AF" w:rsidP="00BA453A">
            <w:pPr>
              <w:jc w:val="both"/>
              <w:rPr>
                <w:bCs/>
              </w:rPr>
            </w:pPr>
            <w:r w:rsidRPr="00D5418A">
              <w:rPr>
                <w:bCs/>
              </w:rPr>
              <w:t>Tööealise elanikkonna vähenemine, %</w:t>
            </w:r>
          </w:p>
        </w:tc>
      </w:tr>
      <w:tr w:rsidR="005069AF" w:rsidRPr="00CF0F9B" w:rsidTr="00BA453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5069AF" w:rsidRPr="00D326D2" w:rsidRDefault="00D326D2" w:rsidP="00BA453A">
            <w:pPr>
              <w:jc w:val="both"/>
            </w:pPr>
            <w:r w:rsidRPr="00D326D2">
              <w:t>2010</w:t>
            </w:r>
          </w:p>
        </w:tc>
        <w:tc>
          <w:tcPr>
            <w:tcW w:w="2065" w:type="dxa"/>
            <w:tcBorders>
              <w:top w:val="nil"/>
              <w:left w:val="nil"/>
              <w:bottom w:val="single" w:sz="4" w:space="0" w:color="auto"/>
              <w:right w:val="single" w:sz="4" w:space="0" w:color="auto"/>
            </w:tcBorders>
            <w:shd w:val="clear" w:color="auto" w:fill="auto"/>
            <w:noWrap/>
            <w:vAlign w:val="bottom"/>
          </w:tcPr>
          <w:p w:rsidR="005069AF" w:rsidRPr="00CF0F9B" w:rsidRDefault="006163FE" w:rsidP="00BA453A">
            <w:pPr>
              <w:jc w:val="both"/>
            </w:pPr>
            <w:r>
              <w:t>90</w:t>
            </w:r>
            <w:r w:rsidR="007A4E16">
              <w:t>8</w:t>
            </w:r>
            <w:r>
              <w:t xml:space="preserve"> </w:t>
            </w:r>
            <w:r w:rsidR="007A4E16">
              <w:t>000</w:t>
            </w:r>
          </w:p>
        </w:tc>
        <w:tc>
          <w:tcPr>
            <w:tcW w:w="2520" w:type="dxa"/>
            <w:tcBorders>
              <w:top w:val="nil"/>
              <w:left w:val="nil"/>
              <w:bottom w:val="single" w:sz="4" w:space="0" w:color="auto"/>
              <w:right w:val="single" w:sz="4" w:space="0" w:color="auto"/>
            </w:tcBorders>
            <w:shd w:val="clear" w:color="auto" w:fill="auto"/>
            <w:noWrap/>
            <w:vAlign w:val="bottom"/>
          </w:tcPr>
          <w:p w:rsidR="005069AF" w:rsidRPr="00CF0F9B" w:rsidRDefault="005069AF" w:rsidP="00BA453A">
            <w:pPr>
              <w:jc w:val="both"/>
            </w:pPr>
            <w:r w:rsidRPr="00CF0F9B">
              <w:t> </w:t>
            </w:r>
          </w:p>
        </w:tc>
        <w:tc>
          <w:tcPr>
            <w:tcW w:w="2340" w:type="dxa"/>
            <w:tcBorders>
              <w:top w:val="nil"/>
              <w:left w:val="nil"/>
              <w:bottom w:val="single" w:sz="4" w:space="0" w:color="auto"/>
              <w:right w:val="single" w:sz="4" w:space="0" w:color="auto"/>
            </w:tcBorders>
            <w:shd w:val="clear" w:color="auto" w:fill="auto"/>
            <w:noWrap/>
            <w:vAlign w:val="bottom"/>
          </w:tcPr>
          <w:p w:rsidR="005069AF" w:rsidRPr="00CF0F9B" w:rsidRDefault="005069AF" w:rsidP="00BA453A">
            <w:pPr>
              <w:jc w:val="both"/>
            </w:pPr>
            <w:r w:rsidRPr="00CF0F9B">
              <w:t> </w:t>
            </w:r>
          </w:p>
        </w:tc>
      </w:tr>
      <w:tr w:rsidR="005069AF" w:rsidRPr="00CF0F9B" w:rsidTr="00BA453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5069AF" w:rsidRPr="00CF0F9B" w:rsidRDefault="005069AF" w:rsidP="00BA453A">
            <w:pPr>
              <w:jc w:val="both"/>
            </w:pPr>
            <w:r w:rsidRPr="00CF0F9B">
              <w:t>2020</w:t>
            </w:r>
          </w:p>
        </w:tc>
        <w:tc>
          <w:tcPr>
            <w:tcW w:w="2065" w:type="dxa"/>
            <w:tcBorders>
              <w:top w:val="nil"/>
              <w:left w:val="nil"/>
              <w:bottom w:val="single" w:sz="4" w:space="0" w:color="auto"/>
              <w:right w:val="single" w:sz="4" w:space="0" w:color="auto"/>
            </w:tcBorders>
            <w:shd w:val="clear" w:color="auto" w:fill="auto"/>
            <w:noWrap/>
            <w:vAlign w:val="bottom"/>
          </w:tcPr>
          <w:p w:rsidR="005069AF" w:rsidRPr="00CF0F9B" w:rsidRDefault="006163FE" w:rsidP="00BA453A">
            <w:pPr>
              <w:jc w:val="both"/>
            </w:pPr>
            <w:r>
              <w:t>843 000</w:t>
            </w:r>
          </w:p>
        </w:tc>
        <w:tc>
          <w:tcPr>
            <w:tcW w:w="2520" w:type="dxa"/>
            <w:tcBorders>
              <w:top w:val="nil"/>
              <w:left w:val="nil"/>
              <w:bottom w:val="single" w:sz="4" w:space="0" w:color="auto"/>
              <w:right w:val="single" w:sz="4" w:space="0" w:color="auto"/>
            </w:tcBorders>
            <w:shd w:val="clear" w:color="auto" w:fill="auto"/>
            <w:noWrap/>
            <w:vAlign w:val="bottom"/>
          </w:tcPr>
          <w:p w:rsidR="005069AF" w:rsidRPr="00CF0F9B" w:rsidRDefault="005069AF" w:rsidP="00BA453A">
            <w:pPr>
              <w:jc w:val="both"/>
            </w:pPr>
            <w:r w:rsidRPr="00CF0F9B">
              <w:t>-</w:t>
            </w:r>
            <w:r w:rsidR="007A4E16">
              <w:t>65</w:t>
            </w:r>
            <w:r w:rsidRPr="00CF0F9B">
              <w:t xml:space="preserve"> 000</w:t>
            </w:r>
          </w:p>
        </w:tc>
        <w:tc>
          <w:tcPr>
            <w:tcW w:w="2340" w:type="dxa"/>
            <w:tcBorders>
              <w:top w:val="nil"/>
              <w:left w:val="nil"/>
              <w:bottom w:val="single" w:sz="4" w:space="0" w:color="auto"/>
              <w:right w:val="single" w:sz="4" w:space="0" w:color="auto"/>
            </w:tcBorders>
            <w:shd w:val="clear" w:color="auto" w:fill="auto"/>
            <w:noWrap/>
            <w:vAlign w:val="bottom"/>
          </w:tcPr>
          <w:p w:rsidR="005069AF" w:rsidRPr="00663A1B" w:rsidRDefault="005069AF" w:rsidP="00BA453A">
            <w:pPr>
              <w:jc w:val="both"/>
            </w:pPr>
            <w:r w:rsidRPr="00663A1B">
              <w:t>-7 %</w:t>
            </w:r>
          </w:p>
        </w:tc>
      </w:tr>
      <w:tr w:rsidR="005069AF" w:rsidRPr="00CF0F9B" w:rsidTr="00BA453A">
        <w:trPr>
          <w:trHeight w:val="255"/>
        </w:trPr>
        <w:tc>
          <w:tcPr>
            <w:tcW w:w="1900" w:type="dxa"/>
            <w:tcBorders>
              <w:top w:val="nil"/>
              <w:left w:val="single" w:sz="4" w:space="0" w:color="auto"/>
              <w:bottom w:val="single" w:sz="4" w:space="0" w:color="auto"/>
              <w:right w:val="single" w:sz="4" w:space="0" w:color="auto"/>
            </w:tcBorders>
            <w:shd w:val="clear" w:color="auto" w:fill="auto"/>
            <w:noWrap/>
            <w:vAlign w:val="bottom"/>
          </w:tcPr>
          <w:p w:rsidR="005069AF" w:rsidRPr="00CF0F9B" w:rsidRDefault="005069AF" w:rsidP="00BA453A">
            <w:pPr>
              <w:jc w:val="both"/>
            </w:pPr>
            <w:r w:rsidRPr="00CF0F9B">
              <w:t>2030</w:t>
            </w:r>
          </w:p>
        </w:tc>
        <w:tc>
          <w:tcPr>
            <w:tcW w:w="2065" w:type="dxa"/>
            <w:tcBorders>
              <w:top w:val="nil"/>
              <w:left w:val="nil"/>
              <w:bottom w:val="single" w:sz="4" w:space="0" w:color="auto"/>
              <w:right w:val="single" w:sz="4" w:space="0" w:color="auto"/>
            </w:tcBorders>
            <w:shd w:val="clear" w:color="auto" w:fill="auto"/>
            <w:noWrap/>
            <w:vAlign w:val="bottom"/>
          </w:tcPr>
          <w:p w:rsidR="005069AF" w:rsidRPr="00CF0F9B" w:rsidRDefault="006163FE" w:rsidP="00BA453A">
            <w:pPr>
              <w:jc w:val="both"/>
            </w:pPr>
            <w:r>
              <w:t>801</w:t>
            </w:r>
            <w:r w:rsidR="00D326D2">
              <w:t xml:space="preserve"> 000</w:t>
            </w:r>
          </w:p>
        </w:tc>
        <w:tc>
          <w:tcPr>
            <w:tcW w:w="2520" w:type="dxa"/>
            <w:tcBorders>
              <w:top w:val="nil"/>
              <w:left w:val="nil"/>
              <w:bottom w:val="single" w:sz="4" w:space="0" w:color="auto"/>
              <w:right w:val="single" w:sz="4" w:space="0" w:color="auto"/>
            </w:tcBorders>
            <w:shd w:val="clear" w:color="auto" w:fill="auto"/>
            <w:noWrap/>
            <w:vAlign w:val="bottom"/>
          </w:tcPr>
          <w:p w:rsidR="005069AF" w:rsidRPr="00CF0F9B" w:rsidRDefault="007A4E16" w:rsidP="00BA453A">
            <w:pPr>
              <w:jc w:val="both"/>
            </w:pPr>
            <w:r>
              <w:t>-107</w:t>
            </w:r>
            <w:r w:rsidR="005069AF" w:rsidRPr="00CF0F9B">
              <w:t xml:space="preserve"> </w:t>
            </w:r>
            <w:r>
              <w:t>0</w:t>
            </w:r>
            <w:r w:rsidR="005069AF" w:rsidRPr="00CF0F9B">
              <w:t>00</w:t>
            </w:r>
          </w:p>
        </w:tc>
        <w:tc>
          <w:tcPr>
            <w:tcW w:w="2340" w:type="dxa"/>
            <w:tcBorders>
              <w:top w:val="nil"/>
              <w:left w:val="nil"/>
              <w:bottom w:val="single" w:sz="4" w:space="0" w:color="auto"/>
              <w:right w:val="single" w:sz="4" w:space="0" w:color="auto"/>
            </w:tcBorders>
            <w:shd w:val="clear" w:color="auto" w:fill="auto"/>
            <w:noWrap/>
            <w:vAlign w:val="bottom"/>
          </w:tcPr>
          <w:p w:rsidR="005069AF" w:rsidRPr="00663A1B" w:rsidRDefault="007A4E16" w:rsidP="00BA453A">
            <w:pPr>
              <w:jc w:val="both"/>
            </w:pPr>
            <w:r>
              <w:t xml:space="preserve">-12 </w:t>
            </w:r>
            <w:r w:rsidR="005069AF" w:rsidRPr="00663A1B">
              <w:t>%</w:t>
            </w:r>
          </w:p>
        </w:tc>
      </w:tr>
    </w:tbl>
    <w:p w:rsidR="005069AF" w:rsidRPr="003012EC" w:rsidRDefault="005069AF" w:rsidP="005069AF">
      <w:pPr>
        <w:pStyle w:val="BodyText"/>
        <w:spacing w:after="0"/>
        <w:jc w:val="both"/>
      </w:pPr>
      <w:r w:rsidRPr="00CF0F9B">
        <w:rPr>
          <w:i/>
        </w:rPr>
        <w:t xml:space="preserve">Allikas: </w:t>
      </w:r>
      <w:proofErr w:type="spellStart"/>
      <w:r w:rsidR="00AF0911">
        <w:rPr>
          <w:i/>
        </w:rPr>
        <w:t>Eurostat</w:t>
      </w:r>
      <w:proofErr w:type="spellEnd"/>
      <w:r w:rsidR="007A4E16">
        <w:rPr>
          <w:i/>
        </w:rPr>
        <w:t xml:space="preserve">, </w:t>
      </w:r>
      <w:r w:rsidR="006163FE">
        <w:rPr>
          <w:i/>
        </w:rPr>
        <w:t>Euroopa Komisjoni „</w:t>
      </w:r>
      <w:proofErr w:type="spellStart"/>
      <w:r w:rsidR="006163FE">
        <w:rPr>
          <w:i/>
        </w:rPr>
        <w:t>Ageing</w:t>
      </w:r>
      <w:proofErr w:type="spellEnd"/>
      <w:r w:rsidR="006163FE">
        <w:rPr>
          <w:i/>
        </w:rPr>
        <w:t xml:space="preserve"> </w:t>
      </w:r>
      <w:proofErr w:type="spellStart"/>
      <w:r w:rsidR="006163FE">
        <w:rPr>
          <w:i/>
        </w:rPr>
        <w:t>Report</w:t>
      </w:r>
      <w:proofErr w:type="spellEnd"/>
      <w:r w:rsidR="006163FE">
        <w:rPr>
          <w:i/>
        </w:rPr>
        <w:t>“</w:t>
      </w:r>
    </w:p>
    <w:p w:rsidR="005069AF" w:rsidRDefault="005069AF" w:rsidP="005069AF">
      <w:pPr>
        <w:pStyle w:val="BodyText"/>
        <w:spacing w:after="0"/>
        <w:jc w:val="both"/>
      </w:pPr>
    </w:p>
    <w:p w:rsidR="008B26C7" w:rsidRDefault="008B26C7" w:rsidP="005069AF">
      <w:pPr>
        <w:jc w:val="both"/>
      </w:pPr>
    </w:p>
    <w:p w:rsidR="00287669" w:rsidRDefault="005069AF" w:rsidP="005069AF">
      <w:pPr>
        <w:jc w:val="both"/>
      </w:pPr>
      <w:r>
        <w:t xml:space="preserve">Majanduse mahu säilitamiseks vähemalt </w:t>
      </w:r>
      <w:r w:rsidRPr="00CF0F9B">
        <w:t xml:space="preserve">tänasel tasemel </w:t>
      </w:r>
      <w:r w:rsidRPr="00B93C18">
        <w:t>suureneb vajadus töötajate järele iga aastaga</w:t>
      </w:r>
      <w:r w:rsidR="00B93C18">
        <w:t xml:space="preserve">, mistõttu suureneb ka </w:t>
      </w:r>
      <w:r w:rsidR="00B93C18" w:rsidRPr="00CF0974">
        <w:rPr>
          <w:b/>
        </w:rPr>
        <w:t>vajadus kõrgema tööhõive järele tulevikus</w:t>
      </w:r>
      <w:r w:rsidR="001B4648">
        <w:t>.</w:t>
      </w:r>
      <w:r w:rsidR="00CF0974" w:rsidRPr="00CF0974">
        <w:t xml:space="preserve"> </w:t>
      </w:r>
      <w:r w:rsidR="001B4648">
        <w:t>See</w:t>
      </w:r>
      <w:r w:rsidR="00CF0974" w:rsidRPr="00CF0974">
        <w:t xml:space="preserve"> omakorda tähendab vajadust suurendada hõive määra </w:t>
      </w:r>
      <w:r w:rsidR="001B4648">
        <w:t>kõigis Eesti piirkondades</w:t>
      </w:r>
      <w:r>
        <w:t xml:space="preserve">. </w:t>
      </w:r>
    </w:p>
    <w:p w:rsidR="00287669" w:rsidRDefault="00287669" w:rsidP="005069AF">
      <w:pPr>
        <w:jc w:val="both"/>
      </w:pPr>
    </w:p>
    <w:p w:rsidR="005069AF" w:rsidRDefault="005069AF" w:rsidP="005069AF">
      <w:pPr>
        <w:jc w:val="both"/>
      </w:pPr>
      <w:r w:rsidRPr="006B7C79">
        <w:t xml:space="preserve">Tööhõive </w:t>
      </w:r>
      <w:r w:rsidR="005B59F9">
        <w:t xml:space="preserve">määr </w:t>
      </w:r>
      <w:r w:rsidRPr="006B7C79">
        <w:t xml:space="preserve">peale vahepealset kõrgtaset Eestis </w:t>
      </w:r>
      <w:r w:rsidR="003D5D66">
        <w:t>kriisiaastatel langes, kuid on kiiresti taastunud</w:t>
      </w:r>
      <w:r w:rsidR="003D5D66" w:rsidRPr="006B7C79">
        <w:t xml:space="preserve"> </w:t>
      </w:r>
      <w:r w:rsidR="003D5D66">
        <w:t xml:space="preserve">ja tõusnud </w:t>
      </w:r>
      <w:r w:rsidRPr="006B7C79">
        <w:t xml:space="preserve">Euroopa Liidu keskmisest </w:t>
      </w:r>
      <w:r w:rsidR="001B4648">
        <w:t>veidi</w:t>
      </w:r>
      <w:r w:rsidRPr="006B7C79">
        <w:t xml:space="preserve"> </w:t>
      </w:r>
      <w:r w:rsidR="003D5D66">
        <w:t>kõrgemale</w:t>
      </w:r>
      <w:r w:rsidR="00287669">
        <w:t xml:space="preserve">. </w:t>
      </w:r>
      <w:r w:rsidR="009014F8">
        <w:t>Nii on</w:t>
      </w:r>
      <w:r w:rsidRPr="006B7C79">
        <w:t xml:space="preserve"> </w:t>
      </w:r>
      <w:r w:rsidR="00287669" w:rsidRPr="006B7C79">
        <w:t xml:space="preserve">Eestil võimalik </w:t>
      </w:r>
      <w:r w:rsidRPr="006B7C79">
        <w:t xml:space="preserve">vähenevast tööealisesse vanusesse jõudvate noorte arvust </w:t>
      </w:r>
      <w:r w:rsidR="00287669" w:rsidRPr="006B7C79">
        <w:t xml:space="preserve">hoolimata </w:t>
      </w:r>
      <w:r w:rsidRPr="006B7C79">
        <w:t xml:space="preserve">tööjõu rakendatuse taset märkimisväärselt </w:t>
      </w:r>
      <w:r w:rsidR="001B4648">
        <w:t>taastada</w:t>
      </w:r>
      <w:r w:rsidRPr="006B7C79">
        <w:t>. Praegusest kõrgemaks kasvav tööhõive n</w:t>
      </w:r>
      <w:r w:rsidR="003F508A">
        <w:t>ing pikemas perspektiivis ka 65-</w:t>
      </w:r>
      <w:r w:rsidRPr="006B7C79">
        <w:t>aastaste ja vanemate elanike valmidus tööd teha peavad aitama tööealise elanikkonna vähenemist tasandada ning sellega peaks kaasnema ka osa</w:t>
      </w:r>
      <w:r w:rsidR="00F35BF9">
        <w:t xml:space="preserve"> tulevasest majanduskasvust. </w:t>
      </w:r>
    </w:p>
    <w:p w:rsidR="00E955A3" w:rsidRDefault="00E955A3" w:rsidP="005069AF">
      <w:pPr>
        <w:jc w:val="both"/>
      </w:pPr>
    </w:p>
    <w:p w:rsidR="00A567F7" w:rsidRPr="006B7C79" w:rsidRDefault="00A567F7" w:rsidP="00A567F7">
      <w:pPr>
        <w:jc w:val="both"/>
      </w:pPr>
      <w:r>
        <w:t>Eesti v</w:t>
      </w:r>
      <w:r w:rsidRPr="006B7C79">
        <w:t>ii</w:t>
      </w:r>
      <w:r w:rsidR="00460BE6">
        <w:t>mase 10 aasta keskmine tootlikkuse</w:t>
      </w:r>
      <w:r w:rsidR="00F35BF9">
        <w:t xml:space="preserve"> reaalkasv on olnud</w:t>
      </w:r>
      <w:r w:rsidRPr="006B7C79">
        <w:t xml:space="preserve"> kiirem</w:t>
      </w:r>
      <w:r>
        <w:t xml:space="preserve"> kui Euroopas keskmiselt (</w:t>
      </w:r>
      <w:r w:rsidR="00460BE6">
        <w:t xml:space="preserve">ka </w:t>
      </w:r>
      <w:r w:rsidRPr="006B7C79">
        <w:t xml:space="preserve">2009. aasta langust arvesse võttes). </w:t>
      </w:r>
      <w:r w:rsidRPr="006B7C79">
        <w:rPr>
          <w:b/>
        </w:rPr>
        <w:t xml:space="preserve">Samas on SKP inimese kohta </w:t>
      </w:r>
      <w:proofErr w:type="spellStart"/>
      <w:r w:rsidRPr="006B7C79">
        <w:rPr>
          <w:b/>
        </w:rPr>
        <w:t>ELga</w:t>
      </w:r>
      <w:proofErr w:type="spellEnd"/>
      <w:r w:rsidRPr="006B7C79">
        <w:rPr>
          <w:b/>
        </w:rPr>
        <w:t xml:space="preserve"> võrdluses jätkuvalt madal, mille peamiseks põhjuseks on </w:t>
      </w:r>
      <w:r w:rsidR="0081117A">
        <w:rPr>
          <w:b/>
        </w:rPr>
        <w:t>just</w:t>
      </w:r>
      <w:r w:rsidRPr="006B7C79">
        <w:rPr>
          <w:b/>
        </w:rPr>
        <w:t xml:space="preserve"> suhteliselt madal tootlikkus</w:t>
      </w:r>
      <w:r w:rsidRPr="006B7C79">
        <w:t xml:space="preserve">. Tootlikkuse madal tase on seotud nii väikese </w:t>
      </w:r>
      <w:r w:rsidR="006E11F7">
        <w:t>kogu</w:t>
      </w:r>
      <w:r w:rsidRPr="006B7C79">
        <w:t>teguritootlikkuse</w:t>
      </w:r>
      <w:r w:rsidR="004D0A20" w:rsidRPr="006B7C79">
        <w:rPr>
          <w:rStyle w:val="FootnoteReference"/>
          <w:bCs/>
        </w:rPr>
        <w:footnoteReference w:id="1"/>
      </w:r>
      <w:r w:rsidR="00F35BF9">
        <w:t xml:space="preserve"> kui kapitalimahukusega.</w:t>
      </w:r>
      <w:r w:rsidRPr="006B7C79">
        <w:t xml:space="preserve"> Sisuliselt tähendab see, et ettevõtted on vähe investeerinud, </w:t>
      </w:r>
      <w:r w:rsidR="00A216C6">
        <w:t xml:space="preserve">kasutatakse </w:t>
      </w:r>
      <w:r w:rsidRPr="006B7C79">
        <w:t>palju inimressurssi, valmistatakse suhteliselt odavat toodangut ning osutatakse madala lisandväärtusega teenuseid.</w:t>
      </w:r>
    </w:p>
    <w:p w:rsidR="005069AF" w:rsidRDefault="002550C5" w:rsidP="002550C5">
      <w:pPr>
        <w:tabs>
          <w:tab w:val="left" w:pos="3645"/>
        </w:tabs>
        <w:jc w:val="both"/>
      </w:pPr>
      <w:r>
        <w:tab/>
      </w:r>
    </w:p>
    <w:p w:rsidR="00287669" w:rsidRDefault="00CF6A84" w:rsidP="008D5ABD">
      <w:pPr>
        <w:jc w:val="both"/>
      </w:pPr>
      <w:r>
        <w:lastRenderedPageBreak/>
        <w:t>K</w:t>
      </w:r>
      <w:r w:rsidR="00DD2C6A">
        <w:t xml:space="preserve">iire </w:t>
      </w:r>
      <w:r>
        <w:t>tööealise elanikkonna vähenemine</w:t>
      </w:r>
      <w:r w:rsidR="00DD2C6A">
        <w:t xml:space="preserve"> ning Eesti SKP komponentide analüüs</w:t>
      </w:r>
      <w:r>
        <w:t xml:space="preserve"> näitab seda, et</w:t>
      </w:r>
      <w:r w:rsidR="008D5ABD">
        <w:t xml:space="preserve"> </w:t>
      </w:r>
      <w:r w:rsidR="00DD2C6A">
        <w:t>tööealised elanikud</w:t>
      </w:r>
      <w:r w:rsidR="00CF0974">
        <w:t xml:space="preserve"> sõltumata piirkonnast või soost</w:t>
      </w:r>
      <w:r w:rsidR="00DD2C6A">
        <w:t xml:space="preserve"> peaksid olema maksimaalselt hõivatud võimalikult kõrge lisandväärtusega ettevõtmistes. </w:t>
      </w:r>
    </w:p>
    <w:p w:rsidR="00287669" w:rsidRDefault="00287669" w:rsidP="008D5ABD">
      <w:pPr>
        <w:jc w:val="both"/>
      </w:pPr>
    </w:p>
    <w:p w:rsidR="008D5ABD" w:rsidRPr="00E00768" w:rsidRDefault="00287669" w:rsidP="008D5ABD">
      <w:pPr>
        <w:jc w:val="both"/>
        <w:rPr>
          <w:b/>
        </w:rPr>
      </w:pPr>
      <w:r>
        <w:t xml:space="preserve">Seega on </w:t>
      </w:r>
      <w:r w:rsidR="008D5ABD">
        <w:t xml:space="preserve">Eestil </w:t>
      </w:r>
      <w:r w:rsidR="008D5ABD" w:rsidRPr="00E00768">
        <w:rPr>
          <w:b/>
        </w:rPr>
        <w:t>edasise kasvu väljavaadete kontekstis kaks peamist</w:t>
      </w:r>
      <w:r w:rsidR="00DD2C6A">
        <w:rPr>
          <w:b/>
        </w:rPr>
        <w:t xml:space="preserve"> ja keskset</w:t>
      </w:r>
      <w:r w:rsidR="008B26C7">
        <w:rPr>
          <w:b/>
        </w:rPr>
        <w:t xml:space="preserve"> eesmärki</w:t>
      </w:r>
      <w:r w:rsidR="008D5ABD" w:rsidRPr="00E00768">
        <w:rPr>
          <w:b/>
        </w:rPr>
        <w:t xml:space="preserve">: </w:t>
      </w:r>
    </w:p>
    <w:p w:rsidR="008D5ABD" w:rsidRPr="0063082A" w:rsidRDefault="008D5ABD" w:rsidP="008D5ABD">
      <w:pPr>
        <w:numPr>
          <w:ilvl w:val="0"/>
          <w:numId w:val="3"/>
        </w:numPr>
        <w:jc w:val="both"/>
      </w:pPr>
      <w:r w:rsidRPr="0063082A">
        <w:rPr>
          <w:b/>
        </w:rPr>
        <w:t>saavutada tootlikkuse kiire kasv</w:t>
      </w:r>
      <w:r w:rsidRPr="0063082A">
        <w:t xml:space="preserve"> nii suurema kapitalimahukuse kui kõrgema lisandväärtusega toodete ja teenuste kaudu;</w:t>
      </w:r>
    </w:p>
    <w:p w:rsidR="008D5ABD" w:rsidRPr="0063082A" w:rsidRDefault="00DE1726" w:rsidP="008D5ABD">
      <w:pPr>
        <w:numPr>
          <w:ilvl w:val="0"/>
          <w:numId w:val="3"/>
        </w:numPr>
        <w:jc w:val="both"/>
      </w:pPr>
      <w:r>
        <w:rPr>
          <w:b/>
        </w:rPr>
        <w:t>hoida</w:t>
      </w:r>
      <w:r w:rsidR="00287669">
        <w:t xml:space="preserve"> </w:t>
      </w:r>
      <w:r w:rsidR="008D5ABD" w:rsidRPr="0063082A">
        <w:rPr>
          <w:b/>
        </w:rPr>
        <w:t>kõrge</w:t>
      </w:r>
      <w:r>
        <w:rPr>
          <w:b/>
        </w:rPr>
        <w:t>t</w:t>
      </w:r>
      <w:r w:rsidR="008D5ABD" w:rsidRPr="0063082A">
        <w:rPr>
          <w:b/>
        </w:rPr>
        <w:t xml:space="preserve"> tööhõive tase</w:t>
      </w:r>
      <w:r>
        <w:rPr>
          <w:b/>
        </w:rPr>
        <w:t>t</w:t>
      </w:r>
      <w:r w:rsidR="008D5ABD" w:rsidRPr="0063082A">
        <w:t>.</w:t>
      </w:r>
    </w:p>
    <w:p w:rsidR="00146B3C" w:rsidRPr="0063082A" w:rsidRDefault="00146B3C" w:rsidP="008D5ABD">
      <w:pPr>
        <w:jc w:val="both"/>
      </w:pPr>
    </w:p>
    <w:p w:rsidR="009B177D" w:rsidRDefault="009B177D" w:rsidP="009B177D">
      <w:pPr>
        <w:rPr>
          <w:b/>
        </w:rPr>
      </w:pPr>
      <w:r>
        <w:rPr>
          <w:b/>
        </w:rPr>
        <w:t xml:space="preserve">2020. aastaks seatakse </w:t>
      </w:r>
      <w:r w:rsidR="008B26C7">
        <w:rPr>
          <w:b/>
        </w:rPr>
        <w:t xml:space="preserve">järgmised </w:t>
      </w:r>
      <w:r>
        <w:rPr>
          <w:b/>
        </w:rPr>
        <w:t>eesmärgid</w:t>
      </w:r>
      <w:r w:rsidRPr="00576F73">
        <w:rPr>
          <w:b/>
        </w:rPr>
        <w:t>:</w:t>
      </w:r>
    </w:p>
    <w:p w:rsidR="003852C1" w:rsidRDefault="003852C1" w:rsidP="009B177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3852C1" w:rsidRPr="003675F2" w:rsidTr="003675F2">
        <w:tc>
          <w:tcPr>
            <w:tcW w:w="9212" w:type="dxa"/>
            <w:gridSpan w:val="3"/>
            <w:shd w:val="clear" w:color="auto" w:fill="CCECFF"/>
            <w:vAlign w:val="center"/>
          </w:tcPr>
          <w:p w:rsidR="003852C1" w:rsidRPr="003675F2" w:rsidRDefault="003852C1" w:rsidP="00B567E4">
            <w:pPr>
              <w:rPr>
                <w:b/>
              </w:rPr>
            </w:pPr>
            <w:r w:rsidRPr="003675F2">
              <w:rPr>
                <w:b/>
              </w:rPr>
              <w:t>T</w:t>
            </w:r>
            <w:r w:rsidR="00FD089F" w:rsidRPr="003675F2">
              <w:rPr>
                <w:b/>
              </w:rPr>
              <w:t>õsta t</w:t>
            </w:r>
            <w:r w:rsidRPr="003675F2">
              <w:rPr>
                <w:b/>
              </w:rPr>
              <w:t>ööhõive määr</w:t>
            </w:r>
            <w:r w:rsidR="00FD089F" w:rsidRPr="003675F2">
              <w:rPr>
                <w:b/>
              </w:rPr>
              <w:t>a</w:t>
            </w:r>
            <w:r w:rsidRPr="003675F2">
              <w:rPr>
                <w:b/>
              </w:rPr>
              <w:t xml:space="preserve"> vanusegrupis 20-64</w:t>
            </w:r>
          </w:p>
        </w:tc>
      </w:tr>
      <w:tr w:rsidR="003852C1" w:rsidRPr="003675F2" w:rsidTr="003675F2">
        <w:tc>
          <w:tcPr>
            <w:tcW w:w="3070" w:type="dxa"/>
            <w:vAlign w:val="center"/>
          </w:tcPr>
          <w:p w:rsidR="003852C1" w:rsidRPr="003675F2" w:rsidRDefault="00D244CF" w:rsidP="003675F2">
            <w:pPr>
              <w:jc w:val="center"/>
              <w:rPr>
                <w:b/>
              </w:rPr>
            </w:pPr>
            <w:r>
              <w:rPr>
                <w:b/>
              </w:rPr>
              <w:t>Algtase</w:t>
            </w:r>
            <w:r w:rsidR="003852C1" w:rsidRPr="003675F2">
              <w:rPr>
                <w:b/>
              </w:rPr>
              <w:t xml:space="preserve"> 2010</w:t>
            </w:r>
          </w:p>
        </w:tc>
        <w:tc>
          <w:tcPr>
            <w:tcW w:w="3071" w:type="dxa"/>
            <w:vAlign w:val="center"/>
          </w:tcPr>
          <w:p w:rsidR="003852C1" w:rsidRPr="003675F2" w:rsidRDefault="0081555E" w:rsidP="003675F2">
            <w:pPr>
              <w:jc w:val="center"/>
              <w:rPr>
                <w:b/>
              </w:rPr>
            </w:pPr>
            <w:r w:rsidRPr="003675F2">
              <w:rPr>
                <w:b/>
              </w:rPr>
              <w:t>Eesti eesmärk</w:t>
            </w:r>
            <w:r w:rsidR="00B348AE" w:rsidRPr="003675F2">
              <w:rPr>
                <w:b/>
              </w:rPr>
              <w:t xml:space="preserve"> </w:t>
            </w:r>
            <w:r w:rsidR="003852C1" w:rsidRPr="003675F2">
              <w:rPr>
                <w:b/>
              </w:rPr>
              <w:t>2015</w:t>
            </w:r>
          </w:p>
        </w:tc>
        <w:tc>
          <w:tcPr>
            <w:tcW w:w="3071" w:type="dxa"/>
            <w:vAlign w:val="center"/>
          </w:tcPr>
          <w:p w:rsidR="003852C1" w:rsidRPr="003675F2" w:rsidRDefault="003852C1" w:rsidP="003675F2">
            <w:pPr>
              <w:jc w:val="center"/>
              <w:rPr>
                <w:b/>
              </w:rPr>
            </w:pPr>
            <w:r w:rsidRPr="003675F2">
              <w:rPr>
                <w:b/>
              </w:rPr>
              <w:t>Eesti eesmärk 2020</w:t>
            </w:r>
          </w:p>
        </w:tc>
      </w:tr>
      <w:tr w:rsidR="003852C1" w:rsidRPr="003675F2" w:rsidTr="003675F2">
        <w:tc>
          <w:tcPr>
            <w:tcW w:w="3070" w:type="dxa"/>
            <w:vAlign w:val="center"/>
          </w:tcPr>
          <w:p w:rsidR="003852C1" w:rsidRPr="003675F2" w:rsidRDefault="003852C1" w:rsidP="003675F2">
            <w:pPr>
              <w:jc w:val="center"/>
              <w:rPr>
                <w:b/>
              </w:rPr>
            </w:pPr>
            <w:r w:rsidRPr="003675F2">
              <w:rPr>
                <w:b/>
              </w:rPr>
              <w:t>66,4%</w:t>
            </w:r>
          </w:p>
        </w:tc>
        <w:tc>
          <w:tcPr>
            <w:tcW w:w="3071" w:type="dxa"/>
            <w:vAlign w:val="center"/>
          </w:tcPr>
          <w:p w:rsidR="003852C1" w:rsidRPr="003675F2" w:rsidRDefault="003852C1" w:rsidP="003675F2">
            <w:pPr>
              <w:jc w:val="center"/>
              <w:rPr>
                <w:b/>
              </w:rPr>
            </w:pPr>
            <w:r w:rsidRPr="003675F2">
              <w:rPr>
                <w:b/>
              </w:rPr>
              <w:t>72%</w:t>
            </w:r>
          </w:p>
        </w:tc>
        <w:tc>
          <w:tcPr>
            <w:tcW w:w="3071" w:type="dxa"/>
            <w:vAlign w:val="center"/>
          </w:tcPr>
          <w:p w:rsidR="003852C1" w:rsidRPr="003675F2" w:rsidRDefault="003852C1" w:rsidP="003675F2">
            <w:pPr>
              <w:jc w:val="center"/>
              <w:rPr>
                <w:b/>
              </w:rPr>
            </w:pPr>
            <w:r w:rsidRPr="003675F2">
              <w:rPr>
                <w:b/>
              </w:rPr>
              <w:t>76%</w:t>
            </w:r>
          </w:p>
        </w:tc>
      </w:tr>
    </w:tbl>
    <w:p w:rsidR="00EA5D91" w:rsidRDefault="00EA5D91" w:rsidP="009B177D">
      <w:pPr>
        <w:rPr>
          <w:b/>
        </w:rPr>
      </w:pPr>
    </w:p>
    <w:p w:rsidR="003852C1" w:rsidRDefault="00BF5B75" w:rsidP="00880BD0">
      <w:pPr>
        <w:jc w:val="both"/>
      </w:pPr>
      <w:r w:rsidRPr="00AD1074">
        <w:rPr>
          <w:b/>
        </w:rPr>
        <w:t>Tööhõive näitaja osas saavutas Eesti 2020. aastaks seatud eesmärgi 2015. aastal</w:t>
      </w:r>
      <w:r>
        <w:t xml:space="preserve"> kui hõive määr tõusis 2014. aastaga võrreldes 2,2 protsendipunkti võrra</w:t>
      </w:r>
      <w:r w:rsidR="001D1C56">
        <w:t>,</w:t>
      </w:r>
      <w:r>
        <w:t xml:space="preserve"> jõudes 76,2%-ni.  </w:t>
      </w:r>
      <w:r w:rsidR="00BE2CD6">
        <w:t xml:space="preserve">2015. aasta eesmärk oli täidetud 2013. aastaks. Järgnevatel aastatel on oluline saavutatud taset hoida. </w:t>
      </w:r>
    </w:p>
    <w:p w:rsidR="002C2484" w:rsidRDefault="002C2484" w:rsidP="00880BD0">
      <w:pPr>
        <w:jc w:val="both"/>
      </w:pPr>
    </w:p>
    <w:p w:rsidR="002C2484" w:rsidRDefault="002C2484" w:rsidP="002C248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2C2484" w:rsidRPr="003675F2" w:rsidTr="000D29B5">
        <w:trPr>
          <w:trHeight w:val="70"/>
        </w:trPr>
        <w:tc>
          <w:tcPr>
            <w:tcW w:w="9212" w:type="dxa"/>
            <w:gridSpan w:val="3"/>
            <w:shd w:val="clear" w:color="auto" w:fill="CCECFF"/>
            <w:vAlign w:val="center"/>
          </w:tcPr>
          <w:p w:rsidR="002C2484" w:rsidRPr="003675F2" w:rsidRDefault="002C2484" w:rsidP="000D29B5">
            <w:pPr>
              <w:rPr>
                <w:b/>
              </w:rPr>
            </w:pPr>
            <w:r w:rsidRPr="003675F2">
              <w:rPr>
                <w:b/>
              </w:rPr>
              <w:t>Tõsta tootlikkust hõivatu kohta Euroopa Liidu keskmisega võrreldes</w:t>
            </w:r>
          </w:p>
        </w:tc>
      </w:tr>
      <w:tr w:rsidR="002C2484" w:rsidRPr="003675F2" w:rsidTr="000D29B5">
        <w:tc>
          <w:tcPr>
            <w:tcW w:w="3070" w:type="dxa"/>
            <w:vAlign w:val="center"/>
          </w:tcPr>
          <w:p w:rsidR="002C2484" w:rsidRPr="003675F2" w:rsidRDefault="002C2484" w:rsidP="000D29B5">
            <w:pPr>
              <w:jc w:val="center"/>
              <w:rPr>
                <w:b/>
              </w:rPr>
            </w:pPr>
            <w:r>
              <w:rPr>
                <w:b/>
              </w:rPr>
              <w:t>Algtase</w:t>
            </w:r>
            <w:r w:rsidRPr="003675F2">
              <w:rPr>
                <w:b/>
              </w:rPr>
              <w:t xml:space="preserve"> 2009</w:t>
            </w:r>
          </w:p>
        </w:tc>
        <w:tc>
          <w:tcPr>
            <w:tcW w:w="3071" w:type="dxa"/>
            <w:vAlign w:val="center"/>
          </w:tcPr>
          <w:p w:rsidR="002C2484" w:rsidRPr="003675F2" w:rsidRDefault="002C2484" w:rsidP="000D29B5">
            <w:pPr>
              <w:jc w:val="center"/>
              <w:rPr>
                <w:b/>
              </w:rPr>
            </w:pPr>
            <w:r w:rsidRPr="003675F2">
              <w:rPr>
                <w:b/>
              </w:rPr>
              <w:t>Eesti eesmärk 2015</w:t>
            </w:r>
          </w:p>
        </w:tc>
        <w:tc>
          <w:tcPr>
            <w:tcW w:w="3071" w:type="dxa"/>
            <w:vAlign w:val="center"/>
          </w:tcPr>
          <w:p w:rsidR="002C2484" w:rsidRPr="003675F2" w:rsidRDefault="002C2484" w:rsidP="000D29B5">
            <w:pPr>
              <w:jc w:val="center"/>
              <w:rPr>
                <w:b/>
              </w:rPr>
            </w:pPr>
            <w:r w:rsidRPr="003675F2">
              <w:rPr>
                <w:b/>
              </w:rPr>
              <w:t>Eesti eesmärk 2020</w:t>
            </w:r>
          </w:p>
        </w:tc>
      </w:tr>
      <w:tr w:rsidR="002C2484" w:rsidRPr="003675F2" w:rsidTr="000D29B5">
        <w:tc>
          <w:tcPr>
            <w:tcW w:w="3070" w:type="dxa"/>
            <w:vAlign w:val="center"/>
          </w:tcPr>
          <w:p w:rsidR="002C2484" w:rsidRPr="003675F2" w:rsidRDefault="002C2484" w:rsidP="000D29B5">
            <w:pPr>
              <w:jc w:val="center"/>
              <w:rPr>
                <w:b/>
              </w:rPr>
            </w:pPr>
            <w:r w:rsidRPr="003675F2">
              <w:rPr>
                <w:b/>
              </w:rPr>
              <w:t>65</w:t>
            </w:r>
            <w:r>
              <w:rPr>
                <w:b/>
              </w:rPr>
              <w:t>,8</w:t>
            </w:r>
            <w:r w:rsidRPr="003675F2">
              <w:rPr>
                <w:b/>
              </w:rPr>
              <w:t>%</w:t>
            </w:r>
          </w:p>
        </w:tc>
        <w:tc>
          <w:tcPr>
            <w:tcW w:w="3071" w:type="dxa"/>
            <w:vAlign w:val="center"/>
          </w:tcPr>
          <w:p w:rsidR="002C2484" w:rsidRPr="003675F2" w:rsidRDefault="002C2484" w:rsidP="000D29B5">
            <w:pPr>
              <w:jc w:val="center"/>
              <w:rPr>
                <w:b/>
              </w:rPr>
            </w:pPr>
            <w:r w:rsidRPr="003675F2">
              <w:rPr>
                <w:b/>
              </w:rPr>
              <w:t>73%</w:t>
            </w:r>
          </w:p>
        </w:tc>
        <w:tc>
          <w:tcPr>
            <w:tcW w:w="3071" w:type="dxa"/>
            <w:vAlign w:val="center"/>
          </w:tcPr>
          <w:p w:rsidR="002C2484" w:rsidRPr="003675F2" w:rsidRDefault="002C2484" w:rsidP="000D29B5">
            <w:pPr>
              <w:jc w:val="center"/>
              <w:rPr>
                <w:b/>
              </w:rPr>
            </w:pPr>
            <w:r w:rsidRPr="003675F2">
              <w:rPr>
                <w:b/>
              </w:rPr>
              <w:t>80%</w:t>
            </w:r>
          </w:p>
        </w:tc>
      </w:tr>
    </w:tbl>
    <w:p w:rsidR="002C2484" w:rsidRDefault="002C2484" w:rsidP="002C2484">
      <w:pPr>
        <w:jc w:val="both"/>
      </w:pPr>
    </w:p>
    <w:p w:rsidR="002C2484" w:rsidRPr="00220ABA" w:rsidRDefault="002C2484" w:rsidP="002C2484">
      <w:pPr>
        <w:jc w:val="both"/>
      </w:pPr>
      <w:r>
        <w:t>Eelduseks võetakse siinkohal</w:t>
      </w:r>
      <w:r w:rsidRPr="00E81DCE">
        <w:t>, et EL tootlikkus kasvab keskmiselt üle 1% aastas ning eesmärgiks, et Eesti tootlikkus hõivatu kohta kasvaks ligikaudu 2 protsendipunkti kiiremini kui EL keskmine näitaja.</w:t>
      </w:r>
      <w:r>
        <w:t xml:space="preserve"> </w:t>
      </w:r>
      <w:r w:rsidRPr="002C2C12">
        <w:rPr>
          <w:b/>
        </w:rPr>
        <w:t>Aastaks 201</w:t>
      </w:r>
      <w:r>
        <w:rPr>
          <w:b/>
        </w:rPr>
        <w:t>4</w:t>
      </w:r>
      <w:r w:rsidRPr="002C2C12">
        <w:rPr>
          <w:b/>
        </w:rPr>
        <w:t xml:space="preserve"> kasvas Eesti ettevõtete tootlikkus hõivatu kohta EL keskmisega võrreldes </w:t>
      </w:r>
      <w:r>
        <w:rPr>
          <w:b/>
        </w:rPr>
        <w:t>73</w:t>
      </w:r>
      <w:r w:rsidRPr="002C2C12">
        <w:rPr>
          <w:b/>
        </w:rPr>
        <w:t>,</w:t>
      </w:r>
      <w:r>
        <w:rPr>
          <w:b/>
        </w:rPr>
        <w:t>8%</w:t>
      </w:r>
      <w:r w:rsidRPr="002C2C12">
        <w:rPr>
          <w:b/>
        </w:rPr>
        <w:t>ni</w:t>
      </w:r>
      <w:r>
        <w:rPr>
          <w:rStyle w:val="FootnoteReference"/>
          <w:b/>
        </w:rPr>
        <w:footnoteReference w:id="2"/>
      </w:r>
      <w:r w:rsidRPr="002C2C12">
        <w:rPr>
          <w:b/>
        </w:rPr>
        <w:t>.</w:t>
      </w:r>
      <w:r>
        <w:rPr>
          <w:b/>
        </w:rPr>
        <w:t xml:space="preserve"> Seega on 2014. aasta näitajate põhjal 2015 a. tootlikkuse eesmärk täidetud. Tõenäoliselt korrigeeritakse 2015. aasta Eesti tootlikkuse näitajat allapoole tulenevalt aeglustunud majanduskasvust ning samaaegsest kiirest hõivatute arvu tõusust.</w:t>
      </w:r>
    </w:p>
    <w:p w:rsidR="002C2484" w:rsidRPr="00E81DCE" w:rsidRDefault="002C2484" w:rsidP="002C2484">
      <w:pPr>
        <w:jc w:val="both"/>
      </w:pPr>
    </w:p>
    <w:p w:rsidR="002C2484" w:rsidRDefault="002C2484" w:rsidP="00880BD0">
      <w:pPr>
        <w:jc w:val="both"/>
        <w:rPr>
          <w:b/>
        </w:rPr>
      </w:pPr>
      <w:r>
        <w:t>Nende eesmärkide saavutamiseks tuleb jätkata ja edasi arendada senist poliitikat nii töötajate oskuste taseme tõstmiseks, tööjõu pakkumise suurendamiseks, erasektori teadus- ja arendustegevuse mahtude suurendamiseks, ettevõtlust toetava rahvusvahelisel tasemel infrastruktuuri arendamiseks kui investeeringute soodustamiseks (eriti ekspordipotentsiaaliga ja kõrgema lisandväärtusega valdkondades).</w:t>
      </w:r>
      <w:r w:rsidR="00E73D5B">
        <w:t xml:space="preserve"> Kaks kolmandikku</w:t>
      </w:r>
      <w:r w:rsidR="008A0E25">
        <w:t xml:space="preserve"> </w:t>
      </w:r>
      <w:r w:rsidR="00E73D5B" w:rsidRPr="001242CE">
        <w:t>Eesti ekspordist annab kokku tööstus, mille tootlikkuse arenguvajaduste välja selgitamiseks koostatakse er</w:t>
      </w:r>
      <w:r w:rsidR="00E73D5B">
        <w:t>aldi tööstuse roheline raamat.</w:t>
      </w:r>
    </w:p>
    <w:p w:rsidR="008C06FC" w:rsidRPr="008C06FC" w:rsidRDefault="008C06FC" w:rsidP="00DD2C6A">
      <w:pPr>
        <w:jc w:val="both"/>
        <w:rPr>
          <w:b/>
        </w:rPr>
      </w:pPr>
    </w:p>
    <w:p w:rsidR="00EA6927" w:rsidRPr="008D5ABD" w:rsidRDefault="00EA6927" w:rsidP="00EA6927">
      <w:pPr>
        <w:pStyle w:val="ldpealkirjaalapealkiri"/>
        <w:rPr>
          <w:b/>
          <w:bCs/>
        </w:rPr>
      </w:pPr>
      <w:r>
        <w:rPr>
          <w:b/>
          <w:bCs/>
        </w:rPr>
        <w:br w:type="page"/>
      </w:r>
      <w:r w:rsidRPr="008D5ABD">
        <w:rPr>
          <w:b/>
          <w:bCs/>
        </w:rPr>
        <w:lastRenderedPageBreak/>
        <w:t>Haritud rahvas ja sidus ühiskond</w:t>
      </w:r>
    </w:p>
    <w:p w:rsidR="00EA6927" w:rsidRDefault="00EA6927" w:rsidP="00EA6927">
      <w:pPr>
        <w:jc w:val="both"/>
      </w:pPr>
      <w:r>
        <w:t>Hariduse ja sidusa ühiskonna laiema valdkonna all keskendub valitsuse poliitika tööturu toimimise teemadele, sh kõikide ühiskonnagruppide aktiivsele kaasamisele ühiskonnas ja kvalifitseeritud tööjõu pakkumisele ning hariduse kvaliteedile ja kättesaadavusele kõigil haridustasemetel.</w:t>
      </w:r>
    </w:p>
    <w:p w:rsidR="00501EC4" w:rsidRDefault="00501EC4" w:rsidP="00EA6927">
      <w:pPr>
        <w:jc w:val="both"/>
      </w:pPr>
    </w:p>
    <w:p w:rsidR="004E5D5E" w:rsidRDefault="004E5D5E" w:rsidP="00EA6927">
      <w:pPr>
        <w:jc w:val="both"/>
      </w:pPr>
    </w:p>
    <w:p w:rsidR="005E24AD" w:rsidRPr="008D0E02" w:rsidRDefault="005E24AD" w:rsidP="00EA6927">
      <w:pPr>
        <w:jc w:val="both"/>
        <w:rPr>
          <w:sz w:val="16"/>
          <w:szCs w:val="16"/>
        </w:rPr>
      </w:pPr>
    </w:p>
    <w:p w:rsidR="00E7238C" w:rsidRDefault="00E7238C" w:rsidP="00E7238C">
      <w:pPr>
        <w:pStyle w:val="ldpealkirjaalapealkiri"/>
        <w:spacing w:before="120" w:after="120"/>
        <w:jc w:val="both"/>
        <w:rPr>
          <w:rFonts w:ascii="Garamond" w:hAnsi="Garamond"/>
          <w:b/>
          <w:bCs/>
          <w:color w:val="000080"/>
          <w:sz w:val="24"/>
        </w:rPr>
      </w:pPr>
      <w:r w:rsidRPr="008D5ABD">
        <w:rPr>
          <w:rFonts w:ascii="Garamond" w:hAnsi="Garamond"/>
          <w:b/>
          <w:bCs/>
          <w:color w:val="000080"/>
          <w:sz w:val="24"/>
        </w:rPr>
        <w:t xml:space="preserve">Eesti 2020 </w:t>
      </w:r>
      <w:r w:rsidR="0049526B">
        <w:rPr>
          <w:rFonts w:ascii="Garamond" w:hAnsi="Garamond"/>
          <w:b/>
          <w:bCs/>
          <w:color w:val="000080"/>
          <w:sz w:val="24"/>
        </w:rPr>
        <w:t>Ees</w:t>
      </w:r>
      <w:r>
        <w:rPr>
          <w:rFonts w:ascii="Garamond" w:hAnsi="Garamond"/>
          <w:b/>
          <w:bCs/>
          <w:color w:val="000080"/>
          <w:sz w:val="24"/>
        </w:rPr>
        <w:t>märgid</w:t>
      </w:r>
      <w:r w:rsidRPr="008D5ABD">
        <w:rPr>
          <w:rFonts w:ascii="Garamond" w:hAnsi="Garamond"/>
          <w:b/>
          <w:bCs/>
          <w:color w:val="000080"/>
          <w:sz w:val="24"/>
        </w:rPr>
        <w:t xml:space="preserve"> </w:t>
      </w:r>
    </w:p>
    <w:p w:rsidR="00E7238C" w:rsidRDefault="00E7238C" w:rsidP="00E7238C">
      <w:pPr>
        <w:rPr>
          <w:b/>
        </w:rPr>
      </w:pPr>
      <w:r>
        <w:rPr>
          <w:b/>
        </w:rPr>
        <w:t>2020. aastaks seatakse Konkurentsivõime kavas ’Eesti 2020’ järgmised põhieesmärgid</w:t>
      </w:r>
      <w:r w:rsidRPr="00576F73">
        <w:rPr>
          <w:b/>
        </w:rPr>
        <w:t>:</w:t>
      </w:r>
    </w:p>
    <w:p w:rsidR="006A0766" w:rsidRPr="008D0E02" w:rsidRDefault="006A0766" w:rsidP="00E7238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6A0766" w:rsidRPr="003675F2" w:rsidTr="003675F2">
        <w:trPr>
          <w:trHeight w:val="70"/>
        </w:trPr>
        <w:tc>
          <w:tcPr>
            <w:tcW w:w="9212" w:type="dxa"/>
            <w:gridSpan w:val="3"/>
            <w:shd w:val="clear" w:color="auto" w:fill="CCECFF"/>
            <w:vAlign w:val="center"/>
          </w:tcPr>
          <w:p w:rsidR="006A0766" w:rsidRPr="003675F2" w:rsidRDefault="00370995" w:rsidP="00B567E4">
            <w:pPr>
              <w:rPr>
                <w:b/>
              </w:rPr>
            </w:pPr>
            <w:r w:rsidRPr="003675F2">
              <w:rPr>
                <w:rFonts w:ascii="Garamond" w:hAnsi="Garamond"/>
                <w:b/>
                <w:bCs/>
                <w:color w:val="000000"/>
              </w:rPr>
              <w:t>Vähendada põhihariduse või madalama haridustasemega õpinguid mittejätkavate noorte (18-24) osakaalu</w:t>
            </w:r>
          </w:p>
        </w:tc>
      </w:tr>
      <w:tr w:rsidR="006A0766" w:rsidRPr="003675F2" w:rsidTr="003675F2">
        <w:tc>
          <w:tcPr>
            <w:tcW w:w="3070" w:type="dxa"/>
            <w:vAlign w:val="center"/>
          </w:tcPr>
          <w:p w:rsidR="006A0766" w:rsidRPr="003675F2" w:rsidRDefault="00D244CF" w:rsidP="003675F2">
            <w:pPr>
              <w:jc w:val="center"/>
              <w:rPr>
                <w:b/>
              </w:rPr>
            </w:pPr>
            <w:r>
              <w:rPr>
                <w:b/>
              </w:rPr>
              <w:t>Algtase</w:t>
            </w:r>
            <w:r w:rsidR="006A0766" w:rsidRPr="003675F2">
              <w:rPr>
                <w:b/>
              </w:rPr>
              <w:t xml:space="preserve"> 20</w:t>
            </w:r>
            <w:r w:rsidR="00683DC8" w:rsidRPr="003675F2">
              <w:rPr>
                <w:b/>
              </w:rPr>
              <w:t>10</w:t>
            </w:r>
          </w:p>
        </w:tc>
        <w:tc>
          <w:tcPr>
            <w:tcW w:w="3071" w:type="dxa"/>
            <w:vAlign w:val="center"/>
          </w:tcPr>
          <w:p w:rsidR="006A0766" w:rsidRPr="003675F2" w:rsidRDefault="0081555E" w:rsidP="003675F2">
            <w:pPr>
              <w:jc w:val="center"/>
              <w:rPr>
                <w:b/>
              </w:rPr>
            </w:pPr>
            <w:r w:rsidRPr="003675F2">
              <w:rPr>
                <w:b/>
              </w:rPr>
              <w:t>Eesti eesmärk</w:t>
            </w:r>
            <w:r w:rsidR="006A0766" w:rsidRPr="003675F2">
              <w:rPr>
                <w:b/>
              </w:rPr>
              <w:t xml:space="preserve"> 2015</w:t>
            </w:r>
          </w:p>
        </w:tc>
        <w:tc>
          <w:tcPr>
            <w:tcW w:w="3071" w:type="dxa"/>
            <w:vAlign w:val="center"/>
          </w:tcPr>
          <w:p w:rsidR="006A0766" w:rsidRPr="003675F2" w:rsidRDefault="006A0766" w:rsidP="003675F2">
            <w:pPr>
              <w:jc w:val="center"/>
              <w:rPr>
                <w:b/>
              </w:rPr>
            </w:pPr>
            <w:r w:rsidRPr="003675F2">
              <w:rPr>
                <w:b/>
              </w:rPr>
              <w:t>Eesti eesmärk 2020</w:t>
            </w:r>
          </w:p>
        </w:tc>
      </w:tr>
      <w:tr w:rsidR="006A0766" w:rsidRPr="003675F2" w:rsidTr="003675F2">
        <w:tc>
          <w:tcPr>
            <w:tcW w:w="3070" w:type="dxa"/>
            <w:vAlign w:val="center"/>
          </w:tcPr>
          <w:p w:rsidR="006A0766" w:rsidRPr="003675F2" w:rsidRDefault="00510644" w:rsidP="003675F2">
            <w:pPr>
              <w:jc w:val="center"/>
              <w:rPr>
                <w:b/>
              </w:rPr>
            </w:pPr>
            <w:r w:rsidRPr="003675F2">
              <w:rPr>
                <w:b/>
              </w:rPr>
              <w:t>11,7</w:t>
            </w:r>
            <w:r w:rsidR="006A0766" w:rsidRPr="003675F2">
              <w:rPr>
                <w:b/>
              </w:rPr>
              <w:t>%</w:t>
            </w:r>
          </w:p>
        </w:tc>
        <w:tc>
          <w:tcPr>
            <w:tcW w:w="3071" w:type="dxa"/>
            <w:vAlign w:val="center"/>
          </w:tcPr>
          <w:p w:rsidR="006A0766" w:rsidRPr="003675F2" w:rsidRDefault="00510644" w:rsidP="003675F2">
            <w:pPr>
              <w:jc w:val="center"/>
              <w:rPr>
                <w:b/>
              </w:rPr>
            </w:pPr>
            <w:r w:rsidRPr="003675F2">
              <w:rPr>
                <w:b/>
              </w:rPr>
              <w:t>11,0</w:t>
            </w:r>
            <w:r w:rsidR="006A0766" w:rsidRPr="003675F2">
              <w:rPr>
                <w:b/>
              </w:rPr>
              <w:t>%</w:t>
            </w:r>
          </w:p>
        </w:tc>
        <w:tc>
          <w:tcPr>
            <w:tcW w:w="3071" w:type="dxa"/>
            <w:vAlign w:val="center"/>
          </w:tcPr>
          <w:p w:rsidR="006A0766" w:rsidRPr="003675F2" w:rsidRDefault="00FD089F" w:rsidP="003675F2">
            <w:pPr>
              <w:jc w:val="center"/>
              <w:rPr>
                <w:b/>
              </w:rPr>
            </w:pPr>
            <w:r w:rsidRPr="003675F2">
              <w:rPr>
                <w:b/>
              </w:rPr>
              <w:t>9,5</w:t>
            </w:r>
            <w:r w:rsidR="006A0766" w:rsidRPr="003675F2">
              <w:rPr>
                <w:b/>
              </w:rPr>
              <w:t>%</w:t>
            </w:r>
          </w:p>
        </w:tc>
      </w:tr>
    </w:tbl>
    <w:p w:rsidR="006A0766" w:rsidRPr="008D0E02" w:rsidRDefault="006A0766" w:rsidP="00E7238C">
      <w:pPr>
        <w:rPr>
          <w:b/>
        </w:rPr>
      </w:pPr>
    </w:p>
    <w:p w:rsidR="006A0766" w:rsidRPr="00220ABA" w:rsidRDefault="00752980" w:rsidP="00752980">
      <w:pPr>
        <w:jc w:val="both"/>
        <w:rPr>
          <w:b/>
        </w:rPr>
      </w:pPr>
      <w:r w:rsidRPr="00220ABA">
        <w:rPr>
          <w:lang w:eastAsia="ja-JP"/>
        </w:rPr>
        <w:t>Eesmärgi saavutamiseks on vajalik käimasolevate väljalangevust vähendavate</w:t>
      </w:r>
      <w:r w:rsidR="003B3513">
        <w:rPr>
          <w:lang w:eastAsia="ja-JP"/>
        </w:rPr>
        <w:t xml:space="preserve"> ja edasiõppimist soodustavate</w:t>
      </w:r>
      <w:r w:rsidRPr="00220ABA">
        <w:rPr>
          <w:lang w:eastAsia="ja-JP"/>
        </w:rPr>
        <w:t xml:space="preserve"> poliitikamuudatuste täielik rakendumine ja täiendavate meetmete väljatöötamine. Eesmärgi saavutamisega väheneb haridustee varaste katkestajate arv ligikaudu 12 100 inimese võrra võrreldes 2009. aasta tasemega.</w:t>
      </w:r>
      <w:r w:rsidR="00E53002">
        <w:rPr>
          <w:lang w:eastAsia="ja-JP"/>
        </w:rPr>
        <w:t xml:space="preserve"> </w:t>
      </w:r>
      <w:r w:rsidR="005171DA" w:rsidRPr="005171DA">
        <w:rPr>
          <w:b/>
        </w:rPr>
        <w:t xml:space="preserve">Madala haridustasemega </w:t>
      </w:r>
      <w:r w:rsidR="005171DA">
        <w:rPr>
          <w:b/>
        </w:rPr>
        <w:t>õpingud katkestanud</w:t>
      </w:r>
      <w:r w:rsidR="005171DA" w:rsidRPr="005171DA">
        <w:rPr>
          <w:b/>
        </w:rPr>
        <w:t xml:space="preserve"> 18-24-aastaste </w:t>
      </w:r>
      <w:r w:rsidR="005171DA">
        <w:rPr>
          <w:b/>
        </w:rPr>
        <w:t xml:space="preserve">noorte </w:t>
      </w:r>
      <w:r w:rsidR="005171DA" w:rsidRPr="005171DA">
        <w:rPr>
          <w:b/>
        </w:rPr>
        <w:t>osakaal oli 2015. aastal 11%, mis on 0,6 protsendipunkti vähem, kui 2014. aastal (11,6%).</w:t>
      </w:r>
      <w:r w:rsidR="005171DA">
        <w:rPr>
          <w:b/>
        </w:rPr>
        <w:t xml:space="preserve"> </w:t>
      </w:r>
      <w:r w:rsidR="005171DA" w:rsidRPr="003B3513">
        <w:t>Kuigi 2015. aasta eesmärk on täidetud vajab 2020. aasta eesmärgini jõudmine pingutusi</w:t>
      </w:r>
      <w:r w:rsidR="003B3513" w:rsidRPr="003B3513">
        <w:t>.</w:t>
      </w:r>
      <w:r w:rsidR="003B3513">
        <w:rPr>
          <w:b/>
        </w:rPr>
        <w:t xml:space="preserve"> </w:t>
      </w:r>
      <w:r w:rsidR="005171DA">
        <w:rPr>
          <w:b/>
        </w:rPr>
        <w:t xml:space="preserve"> </w:t>
      </w:r>
    </w:p>
    <w:p w:rsidR="006A0766" w:rsidRPr="008D0E02" w:rsidRDefault="006A0766" w:rsidP="00E7238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194010" w:rsidRPr="003675F2" w:rsidTr="003675F2">
        <w:trPr>
          <w:trHeight w:val="70"/>
        </w:trPr>
        <w:tc>
          <w:tcPr>
            <w:tcW w:w="9212" w:type="dxa"/>
            <w:gridSpan w:val="3"/>
            <w:shd w:val="clear" w:color="auto" w:fill="CCECFF"/>
            <w:vAlign w:val="center"/>
          </w:tcPr>
          <w:p w:rsidR="00194010" w:rsidRPr="003675F2" w:rsidRDefault="00194010" w:rsidP="00B567E4">
            <w:pPr>
              <w:rPr>
                <w:b/>
              </w:rPr>
            </w:pPr>
            <w:r w:rsidRPr="003675F2">
              <w:rPr>
                <w:rFonts w:ascii="Garamond" w:hAnsi="Garamond"/>
                <w:b/>
                <w:bCs/>
                <w:color w:val="000000"/>
              </w:rPr>
              <w:t>Suurendada kolmanda taseme haridusega 30-34-aastaste inimeste osakaalu</w:t>
            </w:r>
          </w:p>
        </w:tc>
      </w:tr>
      <w:tr w:rsidR="00194010" w:rsidRPr="003675F2" w:rsidTr="003675F2">
        <w:tc>
          <w:tcPr>
            <w:tcW w:w="3070" w:type="dxa"/>
            <w:vAlign w:val="center"/>
          </w:tcPr>
          <w:p w:rsidR="00194010" w:rsidRPr="003675F2" w:rsidRDefault="00D244CF" w:rsidP="003675F2">
            <w:pPr>
              <w:jc w:val="center"/>
              <w:rPr>
                <w:b/>
              </w:rPr>
            </w:pPr>
            <w:r>
              <w:rPr>
                <w:b/>
              </w:rPr>
              <w:t>Algtase</w:t>
            </w:r>
            <w:r w:rsidR="008F273A" w:rsidRPr="003675F2">
              <w:rPr>
                <w:b/>
              </w:rPr>
              <w:t xml:space="preserve"> </w:t>
            </w:r>
            <w:r w:rsidR="00194010" w:rsidRPr="003675F2">
              <w:rPr>
                <w:b/>
              </w:rPr>
              <w:t>20</w:t>
            </w:r>
            <w:r w:rsidR="003D1831" w:rsidRPr="003675F2">
              <w:rPr>
                <w:b/>
              </w:rPr>
              <w:t>10</w:t>
            </w:r>
          </w:p>
        </w:tc>
        <w:tc>
          <w:tcPr>
            <w:tcW w:w="3071" w:type="dxa"/>
            <w:vAlign w:val="center"/>
          </w:tcPr>
          <w:p w:rsidR="00194010" w:rsidRPr="003675F2" w:rsidRDefault="0081555E" w:rsidP="003675F2">
            <w:pPr>
              <w:jc w:val="center"/>
              <w:rPr>
                <w:b/>
              </w:rPr>
            </w:pPr>
            <w:r w:rsidRPr="003675F2">
              <w:rPr>
                <w:b/>
              </w:rPr>
              <w:t>Eesti eesmärk</w:t>
            </w:r>
            <w:r w:rsidR="00194010" w:rsidRPr="003675F2">
              <w:rPr>
                <w:b/>
              </w:rPr>
              <w:t xml:space="preserve"> 2015</w:t>
            </w:r>
          </w:p>
        </w:tc>
        <w:tc>
          <w:tcPr>
            <w:tcW w:w="3071" w:type="dxa"/>
            <w:vAlign w:val="center"/>
          </w:tcPr>
          <w:p w:rsidR="00194010" w:rsidRPr="003675F2" w:rsidRDefault="00194010" w:rsidP="003675F2">
            <w:pPr>
              <w:jc w:val="center"/>
              <w:rPr>
                <w:b/>
              </w:rPr>
            </w:pPr>
            <w:r w:rsidRPr="003675F2">
              <w:rPr>
                <w:b/>
              </w:rPr>
              <w:t>Eesti eesmärk 2020</w:t>
            </w:r>
          </w:p>
        </w:tc>
      </w:tr>
      <w:tr w:rsidR="00194010" w:rsidRPr="003675F2" w:rsidTr="003675F2">
        <w:tc>
          <w:tcPr>
            <w:tcW w:w="3070" w:type="dxa"/>
            <w:vAlign w:val="center"/>
          </w:tcPr>
          <w:p w:rsidR="00194010" w:rsidRPr="003675F2" w:rsidRDefault="00B233AE" w:rsidP="003675F2">
            <w:pPr>
              <w:jc w:val="center"/>
              <w:rPr>
                <w:b/>
              </w:rPr>
            </w:pPr>
            <w:r w:rsidRPr="003675F2">
              <w:rPr>
                <w:b/>
              </w:rPr>
              <w:t>3</w:t>
            </w:r>
            <w:r w:rsidR="003D1831" w:rsidRPr="003675F2">
              <w:rPr>
                <w:b/>
              </w:rPr>
              <w:t>9</w:t>
            </w:r>
            <w:r w:rsidRPr="003675F2">
              <w:rPr>
                <w:b/>
              </w:rPr>
              <w:t>,7</w:t>
            </w:r>
            <w:r w:rsidR="00194010" w:rsidRPr="003675F2">
              <w:rPr>
                <w:b/>
              </w:rPr>
              <w:t>%</w:t>
            </w:r>
          </w:p>
        </w:tc>
        <w:tc>
          <w:tcPr>
            <w:tcW w:w="3071" w:type="dxa"/>
            <w:vAlign w:val="center"/>
          </w:tcPr>
          <w:p w:rsidR="00194010" w:rsidRPr="003675F2" w:rsidRDefault="00683DC8" w:rsidP="003675F2">
            <w:pPr>
              <w:jc w:val="center"/>
              <w:rPr>
                <w:b/>
              </w:rPr>
            </w:pPr>
            <w:r w:rsidRPr="003675F2">
              <w:rPr>
                <w:b/>
              </w:rPr>
              <w:t>40</w:t>
            </w:r>
            <w:r w:rsidR="00194010" w:rsidRPr="003675F2">
              <w:rPr>
                <w:b/>
              </w:rPr>
              <w:t>%</w:t>
            </w:r>
          </w:p>
        </w:tc>
        <w:tc>
          <w:tcPr>
            <w:tcW w:w="3071" w:type="dxa"/>
            <w:vAlign w:val="center"/>
          </w:tcPr>
          <w:p w:rsidR="00194010" w:rsidRPr="003675F2" w:rsidRDefault="00194010" w:rsidP="003675F2">
            <w:pPr>
              <w:jc w:val="center"/>
              <w:rPr>
                <w:b/>
              </w:rPr>
            </w:pPr>
            <w:r w:rsidRPr="003675F2">
              <w:rPr>
                <w:b/>
              </w:rPr>
              <w:t>40%</w:t>
            </w:r>
          </w:p>
        </w:tc>
      </w:tr>
    </w:tbl>
    <w:p w:rsidR="00194010" w:rsidRPr="008D0E02" w:rsidRDefault="00194010" w:rsidP="00194010">
      <w:pPr>
        <w:rPr>
          <w:b/>
        </w:rPr>
      </w:pPr>
    </w:p>
    <w:p w:rsidR="00535923" w:rsidRPr="00C76837" w:rsidRDefault="00535923" w:rsidP="00535923">
      <w:pPr>
        <w:jc w:val="both"/>
      </w:pPr>
      <w:r w:rsidRPr="00220ABA">
        <w:t xml:space="preserve">Eesmärk on seatud eeldusel, et pikemas perspektiivis on hariduspoliitika peamiseks suunaks kõrghariduse kvaliteedi ja rahvusvahelise konkurentsivõime tõstmine. </w:t>
      </w:r>
      <w:r w:rsidRPr="00220ABA">
        <w:rPr>
          <w:color w:val="000000"/>
        </w:rPr>
        <w:t xml:space="preserve">Eestis on kolmanda taseme haridusega inimeste osakaal viimase </w:t>
      </w:r>
      <w:r>
        <w:rPr>
          <w:color w:val="000000"/>
        </w:rPr>
        <w:t>10</w:t>
      </w:r>
      <w:r w:rsidRPr="00220ABA">
        <w:rPr>
          <w:color w:val="000000"/>
        </w:rPr>
        <w:t xml:space="preserve"> aastaga </w:t>
      </w:r>
      <w:r>
        <w:rPr>
          <w:color w:val="000000"/>
        </w:rPr>
        <w:t>oluliselt</w:t>
      </w:r>
      <w:r w:rsidRPr="00220ABA">
        <w:rPr>
          <w:color w:val="000000"/>
        </w:rPr>
        <w:t xml:space="preserve"> </w:t>
      </w:r>
      <w:r w:rsidRPr="003B707A">
        <w:rPr>
          <w:color w:val="000000"/>
        </w:rPr>
        <w:t xml:space="preserve">suurenenud, kuna alates 2000. aastast on kõrgkooli lõpetajate arv </w:t>
      </w:r>
      <w:r>
        <w:rPr>
          <w:color w:val="000000"/>
        </w:rPr>
        <w:t xml:space="preserve">järsult tõusnud </w:t>
      </w:r>
      <w:r w:rsidRPr="003B707A">
        <w:rPr>
          <w:color w:val="000000"/>
        </w:rPr>
        <w:t>(nn kõrgharidusbuum)</w:t>
      </w:r>
      <w:r>
        <w:rPr>
          <w:color w:val="000000"/>
        </w:rPr>
        <w:t xml:space="preserve"> ning viimastel aastatel</w:t>
      </w:r>
      <w:r w:rsidRPr="00944D5E">
        <w:t xml:space="preserve"> </w:t>
      </w:r>
      <w:r w:rsidRPr="00944D5E">
        <w:rPr>
          <w:color w:val="000000"/>
        </w:rPr>
        <w:t>stabiliseerinud</w:t>
      </w:r>
      <w:r>
        <w:rPr>
          <w:color w:val="000000"/>
        </w:rPr>
        <w:t xml:space="preserve"> </w:t>
      </w:r>
      <w:r w:rsidRPr="002C2C12">
        <w:rPr>
          <w:b/>
          <w:color w:val="000000"/>
        </w:rPr>
        <w:t>201</w:t>
      </w:r>
      <w:r>
        <w:rPr>
          <w:b/>
          <w:color w:val="000000"/>
        </w:rPr>
        <w:t>5</w:t>
      </w:r>
      <w:r w:rsidRPr="002C2C12">
        <w:rPr>
          <w:b/>
          <w:color w:val="000000"/>
        </w:rPr>
        <w:t>. aastal moodustas kolmanda taseme haridusega 30-34</w:t>
      </w:r>
      <w:r>
        <w:rPr>
          <w:b/>
          <w:color w:val="000000"/>
        </w:rPr>
        <w:t>-</w:t>
      </w:r>
      <w:r w:rsidRPr="002C2C12">
        <w:rPr>
          <w:b/>
          <w:color w:val="000000"/>
        </w:rPr>
        <w:t>aastaste inimeste osakaal Eestis 4</w:t>
      </w:r>
      <w:r>
        <w:rPr>
          <w:b/>
          <w:color w:val="000000"/>
        </w:rPr>
        <w:t>5</w:t>
      </w:r>
      <w:r w:rsidRPr="002C2C12">
        <w:rPr>
          <w:b/>
          <w:color w:val="000000"/>
        </w:rPr>
        <w:t>,2%</w:t>
      </w:r>
      <w:r w:rsidRPr="00C76837">
        <w:rPr>
          <w:color w:val="000000"/>
        </w:rPr>
        <w:t xml:space="preserve"> (2014.</w:t>
      </w:r>
      <w:r>
        <w:rPr>
          <w:color w:val="000000"/>
        </w:rPr>
        <w:t xml:space="preserve"> </w:t>
      </w:r>
      <w:r w:rsidRPr="00C76837">
        <w:rPr>
          <w:color w:val="000000"/>
        </w:rPr>
        <w:t>a. oli see 43,2</w:t>
      </w:r>
      <w:r>
        <w:rPr>
          <w:color w:val="000000"/>
        </w:rPr>
        <w:t>%</w:t>
      </w:r>
      <w:r w:rsidRPr="00C76837">
        <w:rPr>
          <w:color w:val="000000"/>
        </w:rPr>
        <w:t xml:space="preserve"> ja 2013.</w:t>
      </w:r>
      <w:r>
        <w:rPr>
          <w:color w:val="000000"/>
        </w:rPr>
        <w:t xml:space="preserve"> </w:t>
      </w:r>
      <w:r w:rsidRPr="00C76837">
        <w:rPr>
          <w:color w:val="000000"/>
        </w:rPr>
        <w:t>a. 42,5</w:t>
      </w:r>
      <w:r>
        <w:rPr>
          <w:color w:val="000000"/>
        </w:rPr>
        <w:t>%</w:t>
      </w:r>
      <w:r w:rsidRPr="00C76837">
        <w:rPr>
          <w:color w:val="000000"/>
        </w:rPr>
        <w:t>)</w:t>
      </w:r>
      <w:r>
        <w:rPr>
          <w:color w:val="000000"/>
        </w:rPr>
        <w:t xml:space="preserve">. Eesmärk on küll saavutatud, aga </w:t>
      </w:r>
      <w:r w:rsidRPr="00DD16FA">
        <w:rPr>
          <w:color w:val="000000"/>
        </w:rPr>
        <w:t xml:space="preserve">tähelepanu vajab </w:t>
      </w:r>
      <w:r w:rsidRPr="00944D5E">
        <w:rPr>
          <w:color w:val="000000"/>
        </w:rPr>
        <w:t>edasiõppimise soodustamine</w:t>
      </w:r>
      <w:r>
        <w:rPr>
          <w:color w:val="000000"/>
        </w:rPr>
        <w:t xml:space="preserve"> pärast gümnaasiumi</w:t>
      </w:r>
      <w:r w:rsidRPr="00DD16FA">
        <w:rPr>
          <w:color w:val="000000"/>
        </w:rPr>
        <w:t>, mis näitab viimasel viiel aastal langustrendi.</w:t>
      </w:r>
    </w:p>
    <w:p w:rsidR="005044A5" w:rsidRPr="008D0E02" w:rsidRDefault="005044A5" w:rsidP="00E7238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510644" w:rsidRPr="003675F2" w:rsidTr="003675F2">
        <w:trPr>
          <w:trHeight w:val="70"/>
        </w:trPr>
        <w:tc>
          <w:tcPr>
            <w:tcW w:w="9212" w:type="dxa"/>
            <w:gridSpan w:val="3"/>
            <w:shd w:val="clear" w:color="auto" w:fill="CCECFF"/>
            <w:vAlign w:val="center"/>
          </w:tcPr>
          <w:p w:rsidR="00510644" w:rsidRPr="003675F2" w:rsidRDefault="00510644" w:rsidP="00B567E4">
            <w:pPr>
              <w:rPr>
                <w:b/>
              </w:rPr>
            </w:pPr>
            <w:r w:rsidRPr="003675F2">
              <w:rPr>
                <w:rFonts w:ascii="Garamond" w:hAnsi="Garamond"/>
                <w:b/>
                <w:bCs/>
                <w:color w:val="000000"/>
              </w:rPr>
              <w:t>Vähendada suhtelise vaesuse määra peale sotsiaalseid siirdeid</w:t>
            </w:r>
          </w:p>
        </w:tc>
      </w:tr>
      <w:tr w:rsidR="00510644" w:rsidRPr="003675F2" w:rsidTr="003675F2">
        <w:tc>
          <w:tcPr>
            <w:tcW w:w="3070" w:type="dxa"/>
            <w:vAlign w:val="center"/>
          </w:tcPr>
          <w:p w:rsidR="00510644" w:rsidRPr="003675F2" w:rsidRDefault="00D244CF" w:rsidP="00AE6E48">
            <w:pPr>
              <w:jc w:val="center"/>
              <w:rPr>
                <w:b/>
              </w:rPr>
            </w:pPr>
            <w:r>
              <w:rPr>
                <w:b/>
              </w:rPr>
              <w:t>Algtase</w:t>
            </w:r>
            <w:r w:rsidR="00510644" w:rsidRPr="003675F2">
              <w:rPr>
                <w:b/>
              </w:rPr>
              <w:t xml:space="preserve"> </w:t>
            </w:r>
            <w:r w:rsidR="00A92F8D" w:rsidRPr="003675F2">
              <w:rPr>
                <w:b/>
              </w:rPr>
              <w:t>2010</w:t>
            </w:r>
          </w:p>
        </w:tc>
        <w:tc>
          <w:tcPr>
            <w:tcW w:w="3071" w:type="dxa"/>
            <w:vAlign w:val="center"/>
          </w:tcPr>
          <w:p w:rsidR="00510644" w:rsidRPr="003675F2" w:rsidRDefault="00624FE2" w:rsidP="003675F2">
            <w:pPr>
              <w:jc w:val="center"/>
              <w:rPr>
                <w:b/>
              </w:rPr>
            </w:pPr>
            <w:r w:rsidRPr="003675F2">
              <w:rPr>
                <w:b/>
              </w:rPr>
              <w:t>E</w:t>
            </w:r>
            <w:r w:rsidR="0081555E" w:rsidRPr="003675F2">
              <w:rPr>
                <w:b/>
              </w:rPr>
              <w:t>esti e</w:t>
            </w:r>
            <w:r w:rsidRPr="003675F2">
              <w:rPr>
                <w:b/>
              </w:rPr>
              <w:t>esmärk</w:t>
            </w:r>
            <w:r w:rsidR="00510644" w:rsidRPr="003675F2">
              <w:rPr>
                <w:b/>
              </w:rPr>
              <w:t xml:space="preserve"> 2015</w:t>
            </w:r>
          </w:p>
        </w:tc>
        <w:tc>
          <w:tcPr>
            <w:tcW w:w="3071" w:type="dxa"/>
            <w:vAlign w:val="center"/>
          </w:tcPr>
          <w:p w:rsidR="00510644" w:rsidRPr="003675F2" w:rsidRDefault="00510644" w:rsidP="003675F2">
            <w:pPr>
              <w:jc w:val="center"/>
              <w:rPr>
                <w:b/>
              </w:rPr>
            </w:pPr>
            <w:r w:rsidRPr="003675F2">
              <w:rPr>
                <w:b/>
              </w:rPr>
              <w:t>Eesti eesmärk 2020</w:t>
            </w:r>
          </w:p>
        </w:tc>
      </w:tr>
      <w:tr w:rsidR="00510644" w:rsidRPr="003675F2" w:rsidTr="003675F2">
        <w:tc>
          <w:tcPr>
            <w:tcW w:w="3070" w:type="dxa"/>
            <w:vAlign w:val="center"/>
          </w:tcPr>
          <w:p w:rsidR="00510644" w:rsidRPr="003675F2" w:rsidRDefault="00DE1994" w:rsidP="003675F2">
            <w:pPr>
              <w:jc w:val="center"/>
              <w:rPr>
                <w:b/>
              </w:rPr>
            </w:pPr>
            <w:r w:rsidRPr="003675F2">
              <w:rPr>
                <w:b/>
              </w:rPr>
              <w:t>17,</w:t>
            </w:r>
            <w:r w:rsidR="00E31127" w:rsidRPr="003675F2">
              <w:rPr>
                <w:b/>
              </w:rPr>
              <w:t>5</w:t>
            </w:r>
            <w:r w:rsidR="00510644" w:rsidRPr="003675F2">
              <w:rPr>
                <w:b/>
              </w:rPr>
              <w:t>%</w:t>
            </w:r>
          </w:p>
        </w:tc>
        <w:tc>
          <w:tcPr>
            <w:tcW w:w="3071" w:type="dxa"/>
            <w:vAlign w:val="center"/>
          </w:tcPr>
          <w:p w:rsidR="00510644" w:rsidRPr="003675F2" w:rsidRDefault="00283FE5" w:rsidP="003675F2">
            <w:pPr>
              <w:jc w:val="center"/>
              <w:rPr>
                <w:b/>
              </w:rPr>
            </w:pPr>
            <w:r w:rsidRPr="003675F2">
              <w:rPr>
                <w:b/>
              </w:rPr>
              <w:t>1</w:t>
            </w:r>
            <w:r w:rsidR="00611837" w:rsidRPr="003675F2">
              <w:rPr>
                <w:b/>
              </w:rPr>
              <w:t>6,5</w:t>
            </w:r>
            <w:r w:rsidR="00510644" w:rsidRPr="003675F2">
              <w:rPr>
                <w:b/>
              </w:rPr>
              <w:t>%</w:t>
            </w:r>
          </w:p>
        </w:tc>
        <w:tc>
          <w:tcPr>
            <w:tcW w:w="3071" w:type="dxa"/>
            <w:vAlign w:val="center"/>
          </w:tcPr>
          <w:p w:rsidR="00510644" w:rsidRPr="003675F2" w:rsidRDefault="00A315DC" w:rsidP="003675F2">
            <w:pPr>
              <w:jc w:val="center"/>
              <w:rPr>
                <w:b/>
              </w:rPr>
            </w:pPr>
            <w:r w:rsidRPr="003675F2">
              <w:rPr>
                <w:b/>
              </w:rPr>
              <w:t>15</w:t>
            </w:r>
            <w:r w:rsidR="00510644" w:rsidRPr="003675F2">
              <w:rPr>
                <w:b/>
              </w:rPr>
              <w:t>%</w:t>
            </w:r>
          </w:p>
        </w:tc>
      </w:tr>
    </w:tbl>
    <w:p w:rsidR="008C06FC" w:rsidRPr="008D0E02" w:rsidRDefault="008C06FC" w:rsidP="00E7238C">
      <w:pPr>
        <w:rPr>
          <w:rFonts w:ascii="Garamond" w:hAnsi="Garamond"/>
          <w:b/>
          <w:bCs/>
          <w:color w:val="000000"/>
        </w:rPr>
      </w:pPr>
    </w:p>
    <w:p w:rsidR="002036E6" w:rsidRDefault="00734BDB" w:rsidP="0016462D">
      <w:pPr>
        <w:autoSpaceDE w:val="0"/>
        <w:autoSpaceDN w:val="0"/>
        <w:adjustRightInd w:val="0"/>
        <w:jc w:val="both"/>
        <w:rPr>
          <w:b/>
          <w:color w:val="000000"/>
        </w:rPr>
      </w:pPr>
      <w:r>
        <w:rPr>
          <w:color w:val="000000"/>
        </w:rPr>
        <w:t>2009. aasta</w:t>
      </w:r>
      <w:r w:rsidR="00C23DE2" w:rsidRPr="00220ABA">
        <w:rPr>
          <w:color w:val="000000"/>
        </w:rPr>
        <w:t xml:space="preserve"> oli </w:t>
      </w:r>
      <w:r w:rsidR="00976FDC" w:rsidRPr="00220ABA">
        <w:rPr>
          <w:color w:val="000000"/>
        </w:rPr>
        <w:t>majanduslanguse ja tööhõive vähenemise</w:t>
      </w:r>
      <w:r>
        <w:rPr>
          <w:color w:val="000000"/>
        </w:rPr>
        <w:t xml:space="preserve"> tingimustes langenud vaesuspiiri</w:t>
      </w:r>
      <w:r w:rsidR="00976FDC" w:rsidRPr="00220ABA">
        <w:rPr>
          <w:color w:val="000000"/>
        </w:rPr>
        <w:t xml:space="preserve"> </w:t>
      </w:r>
      <w:r>
        <w:rPr>
          <w:color w:val="000000"/>
        </w:rPr>
        <w:t xml:space="preserve">tõttu </w:t>
      </w:r>
      <w:r w:rsidR="00976FDC" w:rsidRPr="00220ABA">
        <w:rPr>
          <w:color w:val="000000"/>
        </w:rPr>
        <w:t>erandlik</w:t>
      </w:r>
      <w:r>
        <w:rPr>
          <w:color w:val="000000"/>
        </w:rPr>
        <w:t xml:space="preserve"> aasta.</w:t>
      </w:r>
      <w:r w:rsidR="00976FDC" w:rsidRPr="00220ABA">
        <w:rPr>
          <w:color w:val="000000"/>
        </w:rPr>
        <w:t xml:space="preserve"> </w:t>
      </w:r>
      <w:r>
        <w:rPr>
          <w:color w:val="000000"/>
        </w:rPr>
        <w:t>Seetõttu</w:t>
      </w:r>
      <w:r w:rsidR="00976FDC" w:rsidRPr="00220ABA">
        <w:rPr>
          <w:color w:val="000000"/>
        </w:rPr>
        <w:t xml:space="preserve"> võet</w:t>
      </w:r>
      <w:r w:rsidR="00B23834">
        <w:rPr>
          <w:color w:val="000000"/>
        </w:rPr>
        <w:t>i</w:t>
      </w:r>
      <w:r w:rsidR="00976FDC" w:rsidRPr="00220ABA">
        <w:rPr>
          <w:color w:val="000000"/>
        </w:rPr>
        <w:t xml:space="preserve"> eesmärgi sead</w:t>
      </w:r>
      <w:r w:rsidR="00AE6E48">
        <w:rPr>
          <w:color w:val="000000"/>
        </w:rPr>
        <w:t>misel aluseks 2010. aasta andmed, mille järgi</w:t>
      </w:r>
      <w:r w:rsidR="00976FDC" w:rsidRPr="00220ABA">
        <w:rPr>
          <w:color w:val="000000"/>
        </w:rPr>
        <w:t xml:space="preserve"> </w:t>
      </w:r>
      <w:r w:rsidR="00AE6E48">
        <w:rPr>
          <w:color w:val="000000"/>
        </w:rPr>
        <w:t xml:space="preserve">oli </w:t>
      </w:r>
      <w:r w:rsidR="00976FDC" w:rsidRPr="00220ABA">
        <w:rPr>
          <w:color w:val="000000"/>
        </w:rPr>
        <w:t xml:space="preserve">suhtelise vaesuse määr </w:t>
      </w:r>
      <w:r>
        <w:rPr>
          <w:color w:val="000000"/>
        </w:rPr>
        <w:t xml:space="preserve">pärast sotsiaalseid siirdeid </w:t>
      </w:r>
      <w:r w:rsidR="00976FDC" w:rsidRPr="00220ABA">
        <w:rPr>
          <w:color w:val="000000"/>
        </w:rPr>
        <w:t xml:space="preserve">17,5%. </w:t>
      </w:r>
      <w:r w:rsidR="00C357D6" w:rsidRPr="00220ABA">
        <w:rPr>
          <w:color w:val="000000"/>
        </w:rPr>
        <w:t xml:space="preserve">Suhtelise vaesuse määra </w:t>
      </w:r>
      <w:r w:rsidR="00485E27">
        <w:rPr>
          <w:color w:val="000000"/>
        </w:rPr>
        <w:t>kasvu</w:t>
      </w:r>
      <w:r w:rsidR="00C357D6" w:rsidRPr="00220ABA">
        <w:rPr>
          <w:color w:val="000000"/>
        </w:rPr>
        <w:t xml:space="preserve"> </w:t>
      </w:r>
      <w:r>
        <w:rPr>
          <w:color w:val="000000"/>
        </w:rPr>
        <w:t>on tinginud</w:t>
      </w:r>
      <w:r w:rsidR="004E55EF">
        <w:rPr>
          <w:color w:val="000000"/>
        </w:rPr>
        <w:t xml:space="preserve"> vaesuspiiri tõus</w:t>
      </w:r>
      <w:r w:rsidR="00C357D6" w:rsidRPr="00220ABA">
        <w:rPr>
          <w:color w:val="000000"/>
        </w:rPr>
        <w:t xml:space="preserve"> tööhõive ja sisse</w:t>
      </w:r>
      <w:r w:rsidR="008D0E02">
        <w:rPr>
          <w:color w:val="000000"/>
        </w:rPr>
        <w:t>tulekute suurenemise tulemusena</w:t>
      </w:r>
      <w:r w:rsidR="006A7FDA">
        <w:rPr>
          <w:color w:val="000000"/>
        </w:rPr>
        <w:t xml:space="preserve">, </w:t>
      </w:r>
      <w:r w:rsidR="00230665">
        <w:rPr>
          <w:color w:val="000000"/>
        </w:rPr>
        <w:t xml:space="preserve">mis </w:t>
      </w:r>
      <w:r w:rsidR="005A24B2">
        <w:rPr>
          <w:color w:val="000000"/>
        </w:rPr>
        <w:t xml:space="preserve">on viinud </w:t>
      </w:r>
      <w:r w:rsidR="002C2C12" w:rsidRPr="002C2C12">
        <w:rPr>
          <w:b/>
          <w:color w:val="000000"/>
        </w:rPr>
        <w:t xml:space="preserve">suhtelise vaesuse </w:t>
      </w:r>
      <w:r w:rsidR="00230665" w:rsidRPr="002C2C12">
        <w:rPr>
          <w:b/>
          <w:color w:val="000000"/>
        </w:rPr>
        <w:t xml:space="preserve">näitaja </w:t>
      </w:r>
      <w:r w:rsidR="00A02B22">
        <w:rPr>
          <w:b/>
          <w:color w:val="000000"/>
        </w:rPr>
        <w:t>21,</w:t>
      </w:r>
      <w:r w:rsidR="005A24B2">
        <w:rPr>
          <w:b/>
          <w:color w:val="000000"/>
        </w:rPr>
        <w:t xml:space="preserve">6%-ni 2014. aastal. </w:t>
      </w:r>
    </w:p>
    <w:p w:rsidR="00B06450" w:rsidRDefault="00B06450" w:rsidP="0016462D">
      <w:pPr>
        <w:autoSpaceDE w:val="0"/>
        <w:autoSpaceDN w:val="0"/>
        <w:adjustRightInd w:val="0"/>
        <w:jc w:val="both"/>
        <w:rPr>
          <w:color w:val="000000"/>
        </w:rPr>
      </w:pPr>
    </w:p>
    <w:p w:rsidR="004151B3" w:rsidRPr="00220ABA" w:rsidRDefault="004151B3" w:rsidP="004151B3">
      <w:pPr>
        <w:autoSpaceDE w:val="0"/>
        <w:autoSpaceDN w:val="0"/>
        <w:adjustRightInd w:val="0"/>
        <w:jc w:val="both"/>
        <w:rPr>
          <w:b/>
        </w:rPr>
      </w:pPr>
      <w:r w:rsidRPr="00220ABA">
        <w:rPr>
          <w:color w:val="000000"/>
        </w:rPr>
        <w:lastRenderedPageBreak/>
        <w:t xml:space="preserve">Eesti 2020 strateegias seab Eesti eesmärgiks suhtelise vaesuse määra vähendamise peamiselt läbi tööhõive suurendamise ja rahvastiku üldise haridustaseme tõstmise. Eesti jaoks </w:t>
      </w:r>
      <w:r>
        <w:rPr>
          <w:color w:val="000000"/>
        </w:rPr>
        <w:t xml:space="preserve">on </w:t>
      </w:r>
      <w:r w:rsidRPr="00220ABA">
        <w:rPr>
          <w:color w:val="000000"/>
        </w:rPr>
        <w:t xml:space="preserve">oluline vähendada suhtelise vaesuse määra peale sotsiaalseid siirdeid 2015. aastaks 16,5%-ni ning 2020. aastaks 15%-ni. </w:t>
      </w:r>
      <w:r>
        <w:rPr>
          <w:color w:val="000000"/>
        </w:rPr>
        <w:t>E</w:t>
      </w:r>
      <w:r w:rsidRPr="00E2320B">
        <w:rPr>
          <w:color w:val="000000"/>
        </w:rPr>
        <w:t xml:space="preserve">raldi tähelepanu pööratakse laste vaesusele ja madalama sissetulekuga </w:t>
      </w:r>
      <w:r>
        <w:rPr>
          <w:color w:val="000000"/>
        </w:rPr>
        <w:t xml:space="preserve">inimeste ning eakate </w:t>
      </w:r>
      <w:r w:rsidRPr="00E2320B">
        <w:rPr>
          <w:color w:val="000000"/>
        </w:rPr>
        <w:t xml:space="preserve">toimetuleku suurendamisele läbi sihistatud sotsiaalpoliitika meetmete – </w:t>
      </w:r>
      <w:r>
        <w:rPr>
          <w:color w:val="000000"/>
        </w:rPr>
        <w:t>pere</w:t>
      </w:r>
      <w:r w:rsidRPr="00E2320B">
        <w:rPr>
          <w:color w:val="000000"/>
        </w:rPr>
        <w:t>toetus</w:t>
      </w:r>
      <w:r>
        <w:rPr>
          <w:color w:val="000000"/>
        </w:rPr>
        <w:t>t</w:t>
      </w:r>
      <w:r w:rsidRPr="00E2320B">
        <w:rPr>
          <w:color w:val="000000"/>
        </w:rPr>
        <w:t>e tõus</w:t>
      </w:r>
      <w:r>
        <w:rPr>
          <w:color w:val="000000"/>
        </w:rPr>
        <w:t xml:space="preserve">, elatisabiskeemi loomine, madalapalgaliste töötajate täiendav maksutagastus ning üksi elavate pensionäride toetus. </w:t>
      </w:r>
    </w:p>
    <w:p w:rsidR="00146B3C" w:rsidRDefault="00146B3C" w:rsidP="0016462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510644" w:rsidRPr="003675F2" w:rsidTr="003675F2">
        <w:trPr>
          <w:trHeight w:val="70"/>
        </w:trPr>
        <w:tc>
          <w:tcPr>
            <w:tcW w:w="9212" w:type="dxa"/>
            <w:gridSpan w:val="3"/>
            <w:shd w:val="clear" w:color="auto" w:fill="CCECFF"/>
            <w:vAlign w:val="center"/>
          </w:tcPr>
          <w:p w:rsidR="00510644" w:rsidRPr="003675F2" w:rsidRDefault="00510644" w:rsidP="00B567E4">
            <w:pPr>
              <w:rPr>
                <w:b/>
              </w:rPr>
            </w:pPr>
            <w:r w:rsidRPr="003675F2">
              <w:rPr>
                <w:rFonts w:ascii="Garamond" w:hAnsi="Garamond"/>
                <w:b/>
                <w:bCs/>
              </w:rPr>
              <w:t>Suurendada täiskasvanute (25-64) elukestvas õppes osalemise määra</w:t>
            </w:r>
          </w:p>
        </w:tc>
      </w:tr>
      <w:tr w:rsidR="00510644" w:rsidRPr="003675F2" w:rsidTr="003675F2">
        <w:tc>
          <w:tcPr>
            <w:tcW w:w="3070" w:type="dxa"/>
            <w:vAlign w:val="center"/>
          </w:tcPr>
          <w:p w:rsidR="00510644" w:rsidRPr="003675F2" w:rsidRDefault="00D244CF" w:rsidP="003675F2">
            <w:pPr>
              <w:jc w:val="center"/>
              <w:rPr>
                <w:b/>
              </w:rPr>
            </w:pPr>
            <w:r>
              <w:rPr>
                <w:b/>
              </w:rPr>
              <w:t>Algtase</w:t>
            </w:r>
            <w:r w:rsidR="00510644" w:rsidRPr="003675F2">
              <w:rPr>
                <w:b/>
              </w:rPr>
              <w:t xml:space="preserve"> 20</w:t>
            </w:r>
            <w:r w:rsidR="00256E6F" w:rsidRPr="003675F2">
              <w:rPr>
                <w:b/>
              </w:rPr>
              <w:t>10</w:t>
            </w:r>
          </w:p>
        </w:tc>
        <w:tc>
          <w:tcPr>
            <w:tcW w:w="3071" w:type="dxa"/>
            <w:vAlign w:val="center"/>
          </w:tcPr>
          <w:p w:rsidR="00510644" w:rsidRPr="003675F2" w:rsidRDefault="0081555E" w:rsidP="003675F2">
            <w:pPr>
              <w:jc w:val="center"/>
              <w:rPr>
                <w:b/>
              </w:rPr>
            </w:pPr>
            <w:r w:rsidRPr="003675F2">
              <w:rPr>
                <w:b/>
              </w:rPr>
              <w:t>Eesti eesmärk</w:t>
            </w:r>
            <w:r w:rsidR="00510644" w:rsidRPr="003675F2">
              <w:rPr>
                <w:b/>
              </w:rPr>
              <w:t xml:space="preserve"> 2015</w:t>
            </w:r>
          </w:p>
        </w:tc>
        <w:tc>
          <w:tcPr>
            <w:tcW w:w="3071" w:type="dxa"/>
            <w:vAlign w:val="center"/>
          </w:tcPr>
          <w:p w:rsidR="00510644" w:rsidRPr="003675F2" w:rsidRDefault="00510644" w:rsidP="003675F2">
            <w:pPr>
              <w:jc w:val="center"/>
              <w:rPr>
                <w:b/>
              </w:rPr>
            </w:pPr>
            <w:r w:rsidRPr="003675F2">
              <w:rPr>
                <w:b/>
              </w:rPr>
              <w:t>Eesti eesmärk 2020</w:t>
            </w:r>
          </w:p>
        </w:tc>
      </w:tr>
      <w:tr w:rsidR="00510644" w:rsidRPr="003675F2" w:rsidTr="003675F2">
        <w:tc>
          <w:tcPr>
            <w:tcW w:w="3070" w:type="dxa"/>
            <w:vAlign w:val="center"/>
          </w:tcPr>
          <w:p w:rsidR="00510644" w:rsidRPr="003675F2" w:rsidRDefault="009009F0" w:rsidP="003675F2">
            <w:pPr>
              <w:jc w:val="center"/>
              <w:rPr>
                <w:b/>
              </w:rPr>
            </w:pPr>
            <w:r w:rsidRPr="003675F2">
              <w:rPr>
                <w:b/>
              </w:rPr>
              <w:t>10,9</w:t>
            </w:r>
            <w:r w:rsidR="00510644" w:rsidRPr="003675F2">
              <w:rPr>
                <w:b/>
              </w:rPr>
              <w:t>%</w:t>
            </w:r>
          </w:p>
        </w:tc>
        <w:tc>
          <w:tcPr>
            <w:tcW w:w="3071" w:type="dxa"/>
            <w:vAlign w:val="center"/>
          </w:tcPr>
          <w:p w:rsidR="00510644" w:rsidRPr="003675F2" w:rsidRDefault="00A92F8D" w:rsidP="003675F2">
            <w:pPr>
              <w:jc w:val="center"/>
              <w:rPr>
                <w:b/>
              </w:rPr>
            </w:pPr>
            <w:r w:rsidRPr="003675F2">
              <w:rPr>
                <w:b/>
              </w:rPr>
              <w:t>15</w:t>
            </w:r>
            <w:r w:rsidR="00510644" w:rsidRPr="003675F2">
              <w:rPr>
                <w:b/>
              </w:rPr>
              <w:t>%</w:t>
            </w:r>
          </w:p>
        </w:tc>
        <w:tc>
          <w:tcPr>
            <w:tcW w:w="3071" w:type="dxa"/>
            <w:vAlign w:val="center"/>
          </w:tcPr>
          <w:p w:rsidR="00510644" w:rsidRPr="003675F2" w:rsidRDefault="00510644" w:rsidP="003675F2">
            <w:pPr>
              <w:jc w:val="center"/>
              <w:rPr>
                <w:b/>
              </w:rPr>
            </w:pPr>
            <w:r w:rsidRPr="003675F2">
              <w:rPr>
                <w:b/>
              </w:rPr>
              <w:t>20%</w:t>
            </w:r>
          </w:p>
        </w:tc>
      </w:tr>
    </w:tbl>
    <w:p w:rsidR="002B17E1" w:rsidRDefault="002B17E1" w:rsidP="00E7238C">
      <w:pPr>
        <w:rPr>
          <w:rFonts w:ascii="Garamond" w:hAnsi="Garamond"/>
          <w:b/>
          <w:bCs/>
          <w:color w:val="000000"/>
        </w:rPr>
      </w:pPr>
    </w:p>
    <w:p w:rsidR="00B21FE8" w:rsidRPr="00220ABA" w:rsidRDefault="009009F0" w:rsidP="009009F0">
      <w:pPr>
        <w:jc w:val="both"/>
        <w:rPr>
          <w:bCs/>
        </w:rPr>
      </w:pPr>
      <w:r w:rsidRPr="00220ABA">
        <w:t xml:space="preserve">Aastatel 2001-2006 oli </w:t>
      </w:r>
      <w:r w:rsidRPr="00220ABA">
        <w:rPr>
          <w:bCs/>
        </w:rPr>
        <w:t xml:space="preserve">Eesti täiskasvanute elukestvas õppes osalemine vahemikus 4-7%. 2008. aastal toimus murrang ja </w:t>
      </w:r>
      <w:r w:rsidR="002F2E6B" w:rsidRPr="00220ABA">
        <w:rPr>
          <w:bCs/>
        </w:rPr>
        <w:t xml:space="preserve">Eesti </w:t>
      </w:r>
      <w:r w:rsidRPr="00220ABA">
        <w:rPr>
          <w:bCs/>
        </w:rPr>
        <w:t>näitaja ületas EL keskmist taset. 2009. aastal tõusis elukestvas õppes osale</w:t>
      </w:r>
      <w:r w:rsidR="002F2E6B" w:rsidRPr="00220ABA">
        <w:rPr>
          <w:bCs/>
        </w:rPr>
        <w:t>mise määr</w:t>
      </w:r>
      <w:r w:rsidRPr="00220ABA">
        <w:rPr>
          <w:bCs/>
        </w:rPr>
        <w:t xml:space="preserve"> 10,6%-ni</w:t>
      </w:r>
      <w:r w:rsidR="00D22F71" w:rsidRPr="00220ABA">
        <w:rPr>
          <w:bCs/>
        </w:rPr>
        <w:t>.</w:t>
      </w:r>
      <w:r w:rsidR="001B0F54" w:rsidRPr="00220ABA">
        <w:rPr>
          <w:bCs/>
        </w:rPr>
        <w:t xml:space="preserve"> </w:t>
      </w:r>
      <w:r w:rsidR="00BA26A8" w:rsidRPr="00220ABA">
        <w:rPr>
          <w:bCs/>
        </w:rPr>
        <w:t xml:space="preserve">Valitsus on seadnud eesmärgiks jõuda aastaks 2015 täiskasvanute osalemisega elukestvas õppes </w:t>
      </w:r>
      <w:r w:rsidR="00B21FE8" w:rsidRPr="00220ABA">
        <w:rPr>
          <w:bCs/>
        </w:rPr>
        <w:t>15</w:t>
      </w:r>
      <w:r w:rsidR="00BA26A8" w:rsidRPr="00220ABA">
        <w:rPr>
          <w:bCs/>
        </w:rPr>
        <w:t xml:space="preserve">% tasemele. </w:t>
      </w:r>
      <w:r w:rsidR="00B21FE8" w:rsidRPr="00220ABA">
        <w:rPr>
          <w:bCs/>
        </w:rPr>
        <w:t>A</w:t>
      </w:r>
      <w:r w:rsidR="00BA26A8" w:rsidRPr="00220ABA">
        <w:rPr>
          <w:bCs/>
        </w:rPr>
        <w:t>asta</w:t>
      </w:r>
      <w:r w:rsidR="00B21FE8" w:rsidRPr="00220ABA">
        <w:rPr>
          <w:bCs/>
        </w:rPr>
        <w:t>ks</w:t>
      </w:r>
      <w:r w:rsidR="00BA26A8" w:rsidRPr="00220ABA">
        <w:rPr>
          <w:bCs/>
        </w:rPr>
        <w:t xml:space="preserve"> 2020 on </w:t>
      </w:r>
      <w:r w:rsidR="00B21FE8" w:rsidRPr="00220ABA">
        <w:rPr>
          <w:bCs/>
        </w:rPr>
        <w:t xml:space="preserve">Eesti eesmärgiks 20% täiskasvanute elukestvas õppes osalemise määra saavutamine. </w:t>
      </w:r>
      <w:r w:rsidR="003A7E0A" w:rsidRPr="002C2C12">
        <w:rPr>
          <w:b/>
          <w:bCs/>
        </w:rPr>
        <w:t>201</w:t>
      </w:r>
      <w:r w:rsidR="007F4790">
        <w:rPr>
          <w:b/>
          <w:bCs/>
        </w:rPr>
        <w:t>5</w:t>
      </w:r>
      <w:r w:rsidR="003A7E0A" w:rsidRPr="002C2C12">
        <w:rPr>
          <w:b/>
          <w:bCs/>
        </w:rPr>
        <w:t xml:space="preserve">. aastal </w:t>
      </w:r>
      <w:r w:rsidR="00875F18" w:rsidRPr="002C2C12">
        <w:rPr>
          <w:b/>
          <w:bCs/>
        </w:rPr>
        <w:t>oli</w:t>
      </w:r>
      <w:r w:rsidR="003A7E0A" w:rsidRPr="002C2C12">
        <w:rPr>
          <w:b/>
          <w:bCs/>
        </w:rPr>
        <w:t xml:space="preserve"> elukestvas õppes osalemine</w:t>
      </w:r>
      <w:r w:rsidR="002602A2" w:rsidRPr="002C2C12">
        <w:rPr>
          <w:b/>
          <w:bCs/>
        </w:rPr>
        <w:t xml:space="preserve"> jõudnud</w:t>
      </w:r>
      <w:r w:rsidR="003A7E0A" w:rsidRPr="002C2C12">
        <w:rPr>
          <w:b/>
          <w:bCs/>
        </w:rPr>
        <w:t xml:space="preserve"> </w:t>
      </w:r>
      <w:r w:rsidR="00A228EC" w:rsidRPr="002C2C12">
        <w:rPr>
          <w:b/>
          <w:bCs/>
        </w:rPr>
        <w:t>12,</w:t>
      </w:r>
      <w:r w:rsidR="007F4790">
        <w:rPr>
          <w:b/>
          <w:bCs/>
        </w:rPr>
        <w:t>2</w:t>
      </w:r>
      <w:r w:rsidR="009B3376">
        <w:rPr>
          <w:b/>
          <w:bCs/>
        </w:rPr>
        <w:t>%</w:t>
      </w:r>
      <w:r w:rsidR="003A7E0A" w:rsidRPr="002C2C12">
        <w:rPr>
          <w:b/>
          <w:bCs/>
        </w:rPr>
        <w:t>ni</w:t>
      </w:r>
      <w:r w:rsidR="007F4790">
        <w:rPr>
          <w:b/>
          <w:bCs/>
        </w:rPr>
        <w:t>, mistõttu nõuab eesmärgi täitmine lisapingutusi</w:t>
      </w:r>
    </w:p>
    <w:p w:rsidR="002036E6" w:rsidRDefault="002036E6" w:rsidP="009009F0">
      <w:pPr>
        <w:jc w:val="both"/>
      </w:pPr>
    </w:p>
    <w:p w:rsidR="00E47B92" w:rsidRDefault="001B0F54" w:rsidP="009009F0">
      <w:pPr>
        <w:jc w:val="both"/>
        <w:rPr>
          <w:rFonts w:ascii="Garamond" w:hAnsi="Garamond"/>
          <w:b/>
          <w:bCs/>
          <w:color w:val="000000"/>
        </w:rPr>
      </w:pPr>
      <w:r>
        <w:t xml:space="preserve">Eesmärgi saavutamise eelduseks on, et võrreldes tänasega rakendatakse </w:t>
      </w:r>
      <w:r w:rsidR="00031B5E" w:rsidRPr="00031B5E">
        <w:t xml:space="preserve">oluliselt suuremas mahus </w:t>
      </w:r>
      <w:r>
        <w:t>täiendavaid sisulisi ja rahalisi meetmeid täiskasvanute elukestvas õppes osalemise suurendamiseks</w:t>
      </w:r>
      <w:r w:rsidR="0029627C">
        <w:t>. Nendeks on</w:t>
      </w:r>
      <w:r w:rsidR="00BA26A8">
        <w:t xml:space="preserve"> eelkõige täiskasvanute täiend- ja ümberõppe võimaluste laiendamine ja rahastamise suurendamine</w:t>
      </w:r>
      <w:r w:rsidR="00452B81">
        <w:t xml:space="preserve"> ning ilma erialase hariduseta täiskasvanutele tasemeõppe pakkumine</w:t>
      </w:r>
      <w:r>
        <w:t>.</w:t>
      </w:r>
    </w:p>
    <w:p w:rsidR="00510644" w:rsidRDefault="00510644" w:rsidP="00E7238C">
      <w:pPr>
        <w:rPr>
          <w:rFonts w:ascii="Garamond" w:hAnsi="Garamond"/>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510644" w:rsidRPr="003675F2" w:rsidTr="003675F2">
        <w:trPr>
          <w:trHeight w:val="70"/>
        </w:trPr>
        <w:tc>
          <w:tcPr>
            <w:tcW w:w="9212" w:type="dxa"/>
            <w:gridSpan w:val="3"/>
            <w:shd w:val="clear" w:color="auto" w:fill="CCECFF"/>
            <w:vAlign w:val="center"/>
          </w:tcPr>
          <w:p w:rsidR="00510644" w:rsidRPr="003675F2" w:rsidRDefault="00510644" w:rsidP="00B567E4">
            <w:pPr>
              <w:rPr>
                <w:b/>
              </w:rPr>
            </w:pPr>
            <w:r w:rsidRPr="003675F2">
              <w:rPr>
                <w:rFonts w:ascii="Garamond" w:hAnsi="Garamond"/>
                <w:b/>
                <w:bCs/>
              </w:rPr>
              <w:t>Vähendada eri- ja kutsealase hariduseta täiskasvanute (25-64) osakaalu</w:t>
            </w:r>
          </w:p>
        </w:tc>
      </w:tr>
      <w:tr w:rsidR="00510644" w:rsidRPr="003675F2" w:rsidTr="003675F2">
        <w:tc>
          <w:tcPr>
            <w:tcW w:w="3070" w:type="dxa"/>
            <w:vAlign w:val="center"/>
          </w:tcPr>
          <w:p w:rsidR="00510644" w:rsidRPr="003675F2" w:rsidRDefault="00D244CF" w:rsidP="003675F2">
            <w:pPr>
              <w:jc w:val="center"/>
              <w:rPr>
                <w:b/>
              </w:rPr>
            </w:pPr>
            <w:r>
              <w:rPr>
                <w:b/>
              </w:rPr>
              <w:t>Algtase</w:t>
            </w:r>
            <w:r w:rsidR="00510644" w:rsidRPr="003675F2">
              <w:rPr>
                <w:b/>
              </w:rPr>
              <w:t xml:space="preserve"> 20</w:t>
            </w:r>
            <w:r w:rsidR="00FC35B5" w:rsidRPr="003675F2">
              <w:rPr>
                <w:b/>
              </w:rPr>
              <w:t>10</w:t>
            </w:r>
          </w:p>
        </w:tc>
        <w:tc>
          <w:tcPr>
            <w:tcW w:w="3071" w:type="dxa"/>
            <w:vAlign w:val="center"/>
          </w:tcPr>
          <w:p w:rsidR="00510644" w:rsidRPr="003675F2" w:rsidRDefault="0081555E" w:rsidP="003675F2">
            <w:pPr>
              <w:jc w:val="center"/>
              <w:rPr>
                <w:b/>
              </w:rPr>
            </w:pPr>
            <w:r w:rsidRPr="003675F2">
              <w:rPr>
                <w:b/>
              </w:rPr>
              <w:t>Eesti eesmärk</w:t>
            </w:r>
            <w:r w:rsidR="00510644" w:rsidRPr="003675F2">
              <w:rPr>
                <w:b/>
              </w:rPr>
              <w:t xml:space="preserve"> 2015</w:t>
            </w:r>
          </w:p>
        </w:tc>
        <w:tc>
          <w:tcPr>
            <w:tcW w:w="3071" w:type="dxa"/>
            <w:vAlign w:val="center"/>
          </w:tcPr>
          <w:p w:rsidR="00510644" w:rsidRPr="003675F2" w:rsidRDefault="00510644" w:rsidP="003675F2">
            <w:pPr>
              <w:jc w:val="center"/>
              <w:rPr>
                <w:b/>
              </w:rPr>
            </w:pPr>
            <w:r w:rsidRPr="003675F2">
              <w:rPr>
                <w:b/>
              </w:rPr>
              <w:t>Eesti eesmärk 2020</w:t>
            </w:r>
          </w:p>
        </w:tc>
      </w:tr>
      <w:tr w:rsidR="00510644" w:rsidRPr="003675F2" w:rsidTr="003675F2">
        <w:tc>
          <w:tcPr>
            <w:tcW w:w="3070" w:type="dxa"/>
            <w:vAlign w:val="center"/>
          </w:tcPr>
          <w:p w:rsidR="00510644" w:rsidRPr="003675F2" w:rsidRDefault="005D5D61" w:rsidP="003675F2">
            <w:pPr>
              <w:jc w:val="center"/>
              <w:rPr>
                <w:b/>
              </w:rPr>
            </w:pPr>
            <w:r w:rsidRPr="003675F2">
              <w:rPr>
                <w:b/>
              </w:rPr>
              <w:t>3</w:t>
            </w:r>
            <w:r w:rsidR="00FC35B5" w:rsidRPr="003675F2">
              <w:rPr>
                <w:b/>
              </w:rPr>
              <w:t>2</w:t>
            </w:r>
            <w:r w:rsidR="00510644" w:rsidRPr="003675F2">
              <w:rPr>
                <w:b/>
              </w:rPr>
              <w:t>%</w:t>
            </w:r>
          </w:p>
        </w:tc>
        <w:tc>
          <w:tcPr>
            <w:tcW w:w="3071" w:type="dxa"/>
            <w:vAlign w:val="center"/>
          </w:tcPr>
          <w:p w:rsidR="00510644" w:rsidRPr="003675F2" w:rsidRDefault="00722D10" w:rsidP="003675F2">
            <w:pPr>
              <w:jc w:val="center"/>
              <w:rPr>
                <w:b/>
              </w:rPr>
            </w:pPr>
            <w:r w:rsidRPr="003675F2">
              <w:rPr>
                <w:b/>
              </w:rPr>
              <w:t>32</w:t>
            </w:r>
            <w:r w:rsidR="00510644" w:rsidRPr="003675F2">
              <w:rPr>
                <w:b/>
              </w:rPr>
              <w:t>%</w:t>
            </w:r>
          </w:p>
        </w:tc>
        <w:tc>
          <w:tcPr>
            <w:tcW w:w="3071" w:type="dxa"/>
            <w:vAlign w:val="center"/>
          </w:tcPr>
          <w:p w:rsidR="00510644" w:rsidRPr="003675F2" w:rsidRDefault="00510644" w:rsidP="003675F2">
            <w:pPr>
              <w:jc w:val="center"/>
              <w:rPr>
                <w:b/>
              </w:rPr>
            </w:pPr>
            <w:r w:rsidRPr="003675F2">
              <w:rPr>
                <w:b/>
              </w:rPr>
              <w:t>30%</w:t>
            </w:r>
          </w:p>
        </w:tc>
      </w:tr>
    </w:tbl>
    <w:p w:rsidR="00A62EF2" w:rsidRDefault="00A62EF2" w:rsidP="00A62EF2">
      <w:pPr>
        <w:jc w:val="both"/>
      </w:pPr>
    </w:p>
    <w:p w:rsidR="00A62EF2" w:rsidRPr="002C2C12" w:rsidRDefault="00A62EF2" w:rsidP="00A62EF2">
      <w:pPr>
        <w:jc w:val="both"/>
        <w:rPr>
          <w:b/>
          <w:color w:val="000000"/>
        </w:rPr>
      </w:pPr>
      <w:r>
        <w:t xml:space="preserve">Suur osa Eesti tööjõust (vanusegrupis 25-64) on kas põhi- või üldkeskharidusega ning ei oma </w:t>
      </w:r>
      <w:r w:rsidRPr="00AE0D5E">
        <w:t xml:space="preserve">erialast </w:t>
      </w:r>
      <w:r>
        <w:t xml:space="preserve">haridust (kutse- </w:t>
      </w:r>
      <w:r w:rsidR="0065624A">
        <w:t>või</w:t>
      </w:r>
      <w:r>
        <w:t xml:space="preserve"> kõrgharidus)</w:t>
      </w:r>
      <w:r w:rsidRPr="00AE0D5E">
        <w:t>.</w:t>
      </w:r>
      <w:r w:rsidR="00D50F9D">
        <w:t xml:space="preserve"> </w:t>
      </w:r>
      <w:r w:rsidR="00531166">
        <w:t>2</w:t>
      </w:r>
      <w:r w:rsidR="00D50F9D" w:rsidRPr="00D50F9D">
        <w:t>0</w:t>
      </w:r>
      <w:r w:rsidR="00AD7322">
        <w:t>10</w:t>
      </w:r>
      <w:r w:rsidR="00D50F9D" w:rsidRPr="00D50F9D">
        <w:t>. aastal oli vastav näitaja 3</w:t>
      </w:r>
      <w:r w:rsidR="00531166">
        <w:t>2</w:t>
      </w:r>
      <w:r w:rsidR="00D50F9D" w:rsidRPr="00D50F9D">
        <w:t>%</w:t>
      </w:r>
      <w:r w:rsidR="00531166">
        <w:t>, mille põhjal sai seatud siht 30% aastaks 2020.</w:t>
      </w:r>
      <w:r w:rsidRPr="00220ABA">
        <w:rPr>
          <w:color w:val="000000"/>
        </w:rPr>
        <w:t xml:space="preserve"> Ilma erialase hariduseta isikute arv on kõige suurem</w:t>
      </w:r>
      <w:r w:rsidRPr="00220ABA" w:rsidDel="005B7AE6">
        <w:rPr>
          <w:color w:val="000000"/>
        </w:rPr>
        <w:t xml:space="preserve"> </w:t>
      </w:r>
      <w:r w:rsidRPr="00220ABA">
        <w:rPr>
          <w:color w:val="000000"/>
        </w:rPr>
        <w:t>noorimas va</w:t>
      </w:r>
      <w:r w:rsidR="00E65EB9">
        <w:rPr>
          <w:color w:val="000000"/>
        </w:rPr>
        <w:t>nusegrupis, 25-</w:t>
      </w:r>
      <w:r w:rsidR="00A94467">
        <w:rPr>
          <w:color w:val="000000"/>
        </w:rPr>
        <w:t>29</w:t>
      </w:r>
      <w:r w:rsidR="00E65EB9">
        <w:rPr>
          <w:color w:val="000000"/>
        </w:rPr>
        <w:t>-aastaste seas</w:t>
      </w:r>
      <w:r w:rsidR="00B80D8C">
        <w:rPr>
          <w:color w:val="000000"/>
        </w:rPr>
        <w:t xml:space="preserve"> (2014.a. 38%)</w:t>
      </w:r>
      <w:r w:rsidR="00E65EB9">
        <w:rPr>
          <w:color w:val="000000"/>
        </w:rPr>
        <w:t>.</w:t>
      </w:r>
      <w:r w:rsidR="003963B2">
        <w:rPr>
          <w:color w:val="000000"/>
        </w:rPr>
        <w:t xml:space="preserve"> </w:t>
      </w:r>
      <w:r w:rsidR="003963B2" w:rsidRPr="002C2C12">
        <w:rPr>
          <w:b/>
          <w:color w:val="000000"/>
        </w:rPr>
        <w:t>201</w:t>
      </w:r>
      <w:r w:rsidR="00A94467">
        <w:rPr>
          <w:b/>
          <w:color w:val="000000"/>
        </w:rPr>
        <w:t>5</w:t>
      </w:r>
      <w:r w:rsidR="003963B2" w:rsidRPr="002C2C12">
        <w:rPr>
          <w:b/>
          <w:color w:val="000000"/>
        </w:rPr>
        <w:t xml:space="preserve">. aastal vähenes eri- ja kutsealase hariduseta täiskasvanute osakaal vanusegrupis 25-64 eluaastat </w:t>
      </w:r>
      <w:r w:rsidR="00A94467">
        <w:rPr>
          <w:b/>
          <w:color w:val="000000"/>
        </w:rPr>
        <w:t>29,2</w:t>
      </w:r>
      <w:r w:rsidR="003963B2" w:rsidRPr="002C2C12">
        <w:rPr>
          <w:b/>
          <w:color w:val="000000"/>
        </w:rPr>
        <w:t>%ni</w:t>
      </w:r>
      <w:r w:rsidR="00A94467">
        <w:rPr>
          <w:b/>
          <w:color w:val="000000"/>
        </w:rPr>
        <w:t>, millega on täidetud eesmärgid nii 2015. kui 2020. aastaks</w:t>
      </w:r>
      <w:r w:rsidR="000E2883">
        <w:rPr>
          <w:b/>
          <w:color w:val="000000"/>
        </w:rPr>
        <w:t>.</w:t>
      </w:r>
    </w:p>
    <w:p w:rsidR="002036E6" w:rsidRDefault="002036E6" w:rsidP="005D5D61">
      <w:pPr>
        <w:jc w:val="both"/>
        <w:rPr>
          <w:lang w:eastAsia="ja-JP"/>
        </w:rPr>
      </w:pPr>
    </w:p>
    <w:p w:rsidR="005D5D61" w:rsidRDefault="005D5D61" w:rsidP="005D5D61">
      <w:pPr>
        <w:jc w:val="both"/>
        <w:rPr>
          <w:rFonts w:ascii="Garamond" w:hAnsi="Garamond"/>
          <w:b/>
          <w:bCs/>
          <w:color w:val="000000"/>
        </w:rPr>
      </w:pPr>
      <w:r>
        <w:rPr>
          <w:lang w:eastAsia="ja-JP"/>
        </w:rPr>
        <w:t xml:space="preserve">Eesmärgi seadmisel on võetud arvesse </w:t>
      </w:r>
      <w:r w:rsidR="00FC1269">
        <w:rPr>
          <w:lang w:eastAsia="ja-JP"/>
        </w:rPr>
        <w:t xml:space="preserve">käimasolevaid </w:t>
      </w:r>
      <w:r>
        <w:rPr>
          <w:lang w:eastAsia="ja-JP"/>
        </w:rPr>
        <w:t>meetmeid haridustee katkesta</w:t>
      </w:r>
      <w:r w:rsidR="00FC1269">
        <w:rPr>
          <w:lang w:eastAsia="ja-JP"/>
        </w:rPr>
        <w:t>nu</w:t>
      </w:r>
      <w:r>
        <w:rPr>
          <w:lang w:eastAsia="ja-JP"/>
        </w:rPr>
        <w:t xml:space="preserve">tele tasemehariduse </w:t>
      </w:r>
      <w:r w:rsidR="00FC1269">
        <w:rPr>
          <w:lang w:eastAsia="ja-JP"/>
        </w:rPr>
        <w:t>omandamiseks</w:t>
      </w:r>
      <w:r>
        <w:rPr>
          <w:lang w:eastAsia="ja-JP"/>
        </w:rPr>
        <w:t>. Lisaks on arvestatud täiendavate meetmetega, mida tuleb lähiaastatel rakendada erialase haridusega täiskasvanute osakaalu tõstmiseks.</w:t>
      </w:r>
    </w:p>
    <w:p w:rsidR="005740AF" w:rsidRPr="00EA6927" w:rsidRDefault="005740AF" w:rsidP="00E723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B567E4" w:rsidRPr="003675F2" w:rsidTr="003675F2">
        <w:trPr>
          <w:trHeight w:val="70"/>
        </w:trPr>
        <w:tc>
          <w:tcPr>
            <w:tcW w:w="9212" w:type="dxa"/>
            <w:gridSpan w:val="3"/>
            <w:shd w:val="clear" w:color="auto" w:fill="CCECFF"/>
            <w:vAlign w:val="center"/>
          </w:tcPr>
          <w:p w:rsidR="00B567E4" w:rsidRPr="003675F2" w:rsidRDefault="00FF1B49" w:rsidP="00B567E4">
            <w:pPr>
              <w:rPr>
                <w:b/>
              </w:rPr>
            </w:pPr>
            <w:r w:rsidRPr="003675F2">
              <w:rPr>
                <w:rFonts w:ascii="Garamond" w:hAnsi="Garamond"/>
                <w:b/>
                <w:bCs/>
              </w:rPr>
              <w:t xml:space="preserve">Pikaajalise </w:t>
            </w:r>
            <w:r w:rsidR="00B567E4" w:rsidRPr="003675F2">
              <w:rPr>
                <w:rFonts w:ascii="Garamond" w:hAnsi="Garamond"/>
                <w:b/>
                <w:bCs/>
              </w:rPr>
              <w:t>töötu</w:t>
            </w:r>
            <w:r w:rsidR="004C45F6" w:rsidRPr="003675F2">
              <w:rPr>
                <w:rFonts w:ascii="Garamond" w:hAnsi="Garamond"/>
                <w:b/>
                <w:bCs/>
              </w:rPr>
              <w:t>se määra</w:t>
            </w:r>
            <w:r w:rsidRPr="003675F2">
              <w:rPr>
                <w:rFonts w:ascii="Garamond" w:hAnsi="Garamond"/>
                <w:b/>
                <w:bCs/>
              </w:rPr>
              <w:t xml:space="preserve"> vähendamine</w:t>
            </w:r>
          </w:p>
        </w:tc>
      </w:tr>
      <w:tr w:rsidR="00B567E4" w:rsidRPr="003675F2" w:rsidTr="003675F2">
        <w:tc>
          <w:tcPr>
            <w:tcW w:w="3070" w:type="dxa"/>
            <w:vAlign w:val="center"/>
          </w:tcPr>
          <w:p w:rsidR="00B567E4" w:rsidRPr="003675F2" w:rsidRDefault="00D244CF" w:rsidP="003675F2">
            <w:pPr>
              <w:jc w:val="center"/>
              <w:rPr>
                <w:b/>
              </w:rPr>
            </w:pPr>
            <w:r>
              <w:rPr>
                <w:b/>
              </w:rPr>
              <w:t>Algtase</w:t>
            </w:r>
            <w:r w:rsidR="00B567E4" w:rsidRPr="003675F2">
              <w:rPr>
                <w:b/>
              </w:rPr>
              <w:t xml:space="preserve"> 2010</w:t>
            </w:r>
          </w:p>
        </w:tc>
        <w:tc>
          <w:tcPr>
            <w:tcW w:w="3071" w:type="dxa"/>
            <w:vAlign w:val="center"/>
          </w:tcPr>
          <w:p w:rsidR="00B567E4" w:rsidRPr="003675F2" w:rsidRDefault="0081555E" w:rsidP="003675F2">
            <w:pPr>
              <w:jc w:val="center"/>
              <w:rPr>
                <w:b/>
              </w:rPr>
            </w:pPr>
            <w:r w:rsidRPr="003675F2">
              <w:rPr>
                <w:b/>
              </w:rPr>
              <w:t>Eesti eesmärk</w:t>
            </w:r>
            <w:r w:rsidR="00B567E4" w:rsidRPr="003675F2">
              <w:rPr>
                <w:b/>
              </w:rPr>
              <w:t xml:space="preserve"> 2015</w:t>
            </w:r>
          </w:p>
        </w:tc>
        <w:tc>
          <w:tcPr>
            <w:tcW w:w="3071" w:type="dxa"/>
            <w:vAlign w:val="center"/>
          </w:tcPr>
          <w:p w:rsidR="00B567E4" w:rsidRPr="003675F2" w:rsidRDefault="00B567E4" w:rsidP="003675F2">
            <w:pPr>
              <w:jc w:val="center"/>
              <w:rPr>
                <w:b/>
              </w:rPr>
            </w:pPr>
            <w:r w:rsidRPr="003675F2">
              <w:rPr>
                <w:b/>
              </w:rPr>
              <w:t>Eesti eesmärk 2020</w:t>
            </w:r>
          </w:p>
        </w:tc>
      </w:tr>
      <w:tr w:rsidR="00B567E4" w:rsidRPr="003675F2" w:rsidTr="003675F2">
        <w:tc>
          <w:tcPr>
            <w:tcW w:w="3070" w:type="dxa"/>
            <w:vAlign w:val="center"/>
          </w:tcPr>
          <w:p w:rsidR="00B567E4" w:rsidRPr="003675F2" w:rsidRDefault="00F0570D" w:rsidP="003675F2">
            <w:pPr>
              <w:jc w:val="center"/>
              <w:rPr>
                <w:b/>
              </w:rPr>
            </w:pPr>
            <w:r w:rsidRPr="003675F2">
              <w:rPr>
                <w:b/>
              </w:rPr>
              <w:t>7,7%</w:t>
            </w:r>
          </w:p>
        </w:tc>
        <w:tc>
          <w:tcPr>
            <w:tcW w:w="3071" w:type="dxa"/>
            <w:vAlign w:val="center"/>
          </w:tcPr>
          <w:p w:rsidR="00B567E4" w:rsidRPr="003675F2" w:rsidRDefault="00F0570D" w:rsidP="003675F2">
            <w:pPr>
              <w:jc w:val="center"/>
              <w:rPr>
                <w:b/>
              </w:rPr>
            </w:pPr>
            <w:r w:rsidRPr="003675F2">
              <w:rPr>
                <w:b/>
              </w:rPr>
              <w:t>4%</w:t>
            </w:r>
          </w:p>
        </w:tc>
        <w:tc>
          <w:tcPr>
            <w:tcW w:w="3071" w:type="dxa"/>
            <w:vAlign w:val="center"/>
          </w:tcPr>
          <w:p w:rsidR="00B567E4" w:rsidRPr="003675F2" w:rsidRDefault="00F0570D" w:rsidP="003675F2">
            <w:pPr>
              <w:jc w:val="center"/>
              <w:rPr>
                <w:b/>
              </w:rPr>
            </w:pPr>
            <w:r w:rsidRPr="003675F2">
              <w:rPr>
                <w:b/>
              </w:rPr>
              <w:t>2,5%</w:t>
            </w:r>
          </w:p>
        </w:tc>
      </w:tr>
    </w:tbl>
    <w:p w:rsidR="00EA6927" w:rsidRDefault="00EA6927" w:rsidP="00EA6927"/>
    <w:p w:rsidR="00F62B7A" w:rsidRDefault="00F62B7A" w:rsidP="00F62B7A">
      <w:pPr>
        <w:jc w:val="both"/>
      </w:pPr>
      <w:r>
        <w:t xml:space="preserve">Seoses majanduslangusest tingitud töökohtade vähenemisega suurenes 2010. aastal hüppeliselt ka pikaajaliste töötute hulk. </w:t>
      </w:r>
      <w:r w:rsidRPr="002617F8">
        <w:t xml:space="preserve">Kui 2008. aastal moodustasid pikaajalised töötud </w:t>
      </w:r>
      <w:r>
        <w:t xml:space="preserve">kõigist </w:t>
      </w:r>
      <w:r w:rsidRPr="002617F8">
        <w:t xml:space="preserve">töötutest 31%, siis 2011. aastal 57%  ja 2012. aastal 54%.  </w:t>
      </w:r>
      <w:r>
        <w:t>P</w:t>
      </w:r>
      <w:r w:rsidRPr="002617F8">
        <w:t xml:space="preserve">ikaajalise töötuse määr </w:t>
      </w:r>
      <w:r>
        <w:t xml:space="preserve">kogutööjõus on näidanud stabiilset langustendentsi . </w:t>
      </w:r>
      <w:r w:rsidRPr="00F97705">
        <w:rPr>
          <w:b/>
        </w:rPr>
        <w:t>201</w:t>
      </w:r>
      <w:r>
        <w:rPr>
          <w:b/>
        </w:rPr>
        <w:t>5</w:t>
      </w:r>
      <w:r w:rsidRPr="00F97705">
        <w:rPr>
          <w:b/>
        </w:rPr>
        <w:t xml:space="preserve">. aastal </w:t>
      </w:r>
      <w:r>
        <w:rPr>
          <w:b/>
        </w:rPr>
        <w:t xml:space="preserve">moodustasid pikaajalised </w:t>
      </w:r>
      <w:r>
        <w:rPr>
          <w:b/>
        </w:rPr>
        <w:lastRenderedPageBreak/>
        <w:t xml:space="preserve">töötud kõigist töötutest 38% ning </w:t>
      </w:r>
      <w:r w:rsidRPr="00F97705">
        <w:rPr>
          <w:b/>
        </w:rPr>
        <w:t xml:space="preserve"> pikaajalise töötuse määr</w:t>
      </w:r>
      <w:r>
        <w:rPr>
          <w:b/>
        </w:rPr>
        <w:t xml:space="preserve"> oli</w:t>
      </w:r>
      <w:r w:rsidRPr="00F97705">
        <w:rPr>
          <w:b/>
        </w:rPr>
        <w:t xml:space="preserve"> </w:t>
      </w:r>
      <w:r>
        <w:rPr>
          <w:b/>
        </w:rPr>
        <w:t>2,4</w:t>
      </w:r>
      <w:r w:rsidRPr="00F97705">
        <w:rPr>
          <w:b/>
        </w:rPr>
        <w:t>%</w:t>
      </w:r>
      <w:r>
        <w:rPr>
          <w:b/>
        </w:rPr>
        <w:t>. Sellega on täidetud nii 2015. kui 2020. aasta eesmärk</w:t>
      </w:r>
      <w:r>
        <w:t xml:space="preserve"> </w:t>
      </w:r>
      <w:r w:rsidRPr="00571EE4">
        <w:rPr>
          <w:b/>
        </w:rPr>
        <w:t xml:space="preserve">ning edaspidi on oluline saavutatud </w:t>
      </w:r>
      <w:r>
        <w:rPr>
          <w:b/>
        </w:rPr>
        <w:t>taset</w:t>
      </w:r>
      <w:r w:rsidRPr="00571EE4">
        <w:rPr>
          <w:b/>
        </w:rPr>
        <w:t xml:space="preserve"> hoida.</w:t>
      </w:r>
    </w:p>
    <w:p w:rsidR="00F62B7A" w:rsidRDefault="00F62B7A" w:rsidP="00F62B7A">
      <w:pPr>
        <w:jc w:val="center"/>
      </w:pPr>
    </w:p>
    <w:p w:rsidR="00F62B7A" w:rsidRDefault="00F62B7A" w:rsidP="00F62B7A">
      <w:pPr>
        <w:jc w:val="both"/>
      </w:pPr>
      <w:r>
        <w:t xml:space="preserve">Saavutatud taseme hoidmiseks on vajalik tõhustada töötute aktiviseerimisele suunatud meetmeid ning suurendada aktiivse tööturupoliitika mõju. </w:t>
      </w:r>
    </w:p>
    <w:p w:rsidR="00501EC4" w:rsidRDefault="00501EC4" w:rsidP="00EA69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FF1B49" w:rsidRPr="003675F2" w:rsidTr="003675F2">
        <w:trPr>
          <w:trHeight w:val="70"/>
        </w:trPr>
        <w:tc>
          <w:tcPr>
            <w:tcW w:w="9212" w:type="dxa"/>
            <w:gridSpan w:val="3"/>
            <w:shd w:val="clear" w:color="auto" w:fill="CCECFF"/>
            <w:vAlign w:val="center"/>
          </w:tcPr>
          <w:p w:rsidR="00FF1B49" w:rsidRPr="003675F2" w:rsidRDefault="00FF1B49" w:rsidP="0084607F">
            <w:pPr>
              <w:rPr>
                <w:b/>
              </w:rPr>
            </w:pPr>
            <w:r w:rsidRPr="003675F2">
              <w:rPr>
                <w:rFonts w:ascii="Garamond" w:hAnsi="Garamond"/>
                <w:b/>
                <w:bCs/>
              </w:rPr>
              <w:t xml:space="preserve">Noorte </w:t>
            </w:r>
            <w:r w:rsidR="00F0570D" w:rsidRPr="003675F2">
              <w:rPr>
                <w:rFonts w:ascii="Garamond" w:hAnsi="Garamond"/>
                <w:b/>
                <w:bCs/>
              </w:rPr>
              <w:t xml:space="preserve">(15-24) </w:t>
            </w:r>
            <w:r w:rsidRPr="003675F2">
              <w:rPr>
                <w:rFonts w:ascii="Garamond" w:hAnsi="Garamond"/>
                <w:b/>
                <w:bCs/>
              </w:rPr>
              <w:t>töötu</w:t>
            </w:r>
            <w:r w:rsidR="00F0570D" w:rsidRPr="003675F2">
              <w:rPr>
                <w:rFonts w:ascii="Garamond" w:hAnsi="Garamond"/>
                <w:b/>
                <w:bCs/>
              </w:rPr>
              <w:t>se määra</w:t>
            </w:r>
            <w:r w:rsidRPr="003675F2">
              <w:rPr>
                <w:rFonts w:ascii="Garamond" w:hAnsi="Garamond"/>
                <w:b/>
                <w:bCs/>
              </w:rPr>
              <w:t xml:space="preserve"> vähendamine</w:t>
            </w:r>
          </w:p>
        </w:tc>
      </w:tr>
      <w:tr w:rsidR="00FF1B49" w:rsidRPr="003675F2" w:rsidTr="003675F2">
        <w:tc>
          <w:tcPr>
            <w:tcW w:w="3070" w:type="dxa"/>
            <w:vAlign w:val="center"/>
          </w:tcPr>
          <w:p w:rsidR="00FF1B49" w:rsidRPr="003675F2" w:rsidRDefault="00D244CF" w:rsidP="003675F2">
            <w:pPr>
              <w:jc w:val="center"/>
              <w:rPr>
                <w:b/>
              </w:rPr>
            </w:pPr>
            <w:r>
              <w:rPr>
                <w:b/>
              </w:rPr>
              <w:t>Algtase</w:t>
            </w:r>
            <w:r w:rsidR="00FF1B49" w:rsidRPr="003675F2">
              <w:rPr>
                <w:b/>
              </w:rPr>
              <w:t xml:space="preserve"> 2010</w:t>
            </w:r>
          </w:p>
        </w:tc>
        <w:tc>
          <w:tcPr>
            <w:tcW w:w="3071" w:type="dxa"/>
            <w:vAlign w:val="center"/>
          </w:tcPr>
          <w:p w:rsidR="00FF1B49" w:rsidRPr="003675F2" w:rsidRDefault="0081555E" w:rsidP="003675F2">
            <w:pPr>
              <w:jc w:val="center"/>
              <w:rPr>
                <w:b/>
              </w:rPr>
            </w:pPr>
            <w:r w:rsidRPr="003675F2">
              <w:rPr>
                <w:b/>
              </w:rPr>
              <w:t>Eesti eesmärk</w:t>
            </w:r>
            <w:r w:rsidR="00FF1B49" w:rsidRPr="003675F2">
              <w:rPr>
                <w:b/>
              </w:rPr>
              <w:t xml:space="preserve"> 2015</w:t>
            </w:r>
          </w:p>
        </w:tc>
        <w:tc>
          <w:tcPr>
            <w:tcW w:w="3071" w:type="dxa"/>
            <w:vAlign w:val="center"/>
          </w:tcPr>
          <w:p w:rsidR="00FF1B49" w:rsidRPr="003675F2" w:rsidRDefault="00FF1B49" w:rsidP="003675F2">
            <w:pPr>
              <w:jc w:val="center"/>
              <w:rPr>
                <w:b/>
              </w:rPr>
            </w:pPr>
            <w:r w:rsidRPr="003675F2">
              <w:rPr>
                <w:b/>
              </w:rPr>
              <w:t>Eesti eesmärk 2020</w:t>
            </w:r>
          </w:p>
        </w:tc>
      </w:tr>
      <w:tr w:rsidR="00FF1B49" w:rsidRPr="003675F2" w:rsidTr="003675F2">
        <w:tc>
          <w:tcPr>
            <w:tcW w:w="3070" w:type="dxa"/>
            <w:vAlign w:val="center"/>
          </w:tcPr>
          <w:p w:rsidR="00FF1B49" w:rsidRPr="003675F2" w:rsidRDefault="00F0570D" w:rsidP="003675F2">
            <w:pPr>
              <w:jc w:val="center"/>
              <w:rPr>
                <w:b/>
              </w:rPr>
            </w:pPr>
            <w:r w:rsidRPr="003675F2">
              <w:rPr>
                <w:b/>
              </w:rPr>
              <w:t>32,9%</w:t>
            </w:r>
          </w:p>
        </w:tc>
        <w:tc>
          <w:tcPr>
            <w:tcW w:w="3071" w:type="dxa"/>
            <w:vAlign w:val="center"/>
          </w:tcPr>
          <w:p w:rsidR="00FF1B49" w:rsidRPr="003675F2" w:rsidRDefault="00F0570D" w:rsidP="003675F2">
            <w:pPr>
              <w:jc w:val="center"/>
              <w:rPr>
                <w:b/>
              </w:rPr>
            </w:pPr>
            <w:r w:rsidRPr="003675F2">
              <w:rPr>
                <w:b/>
              </w:rPr>
              <w:t>15%</w:t>
            </w:r>
          </w:p>
        </w:tc>
        <w:tc>
          <w:tcPr>
            <w:tcW w:w="3071" w:type="dxa"/>
            <w:vAlign w:val="center"/>
          </w:tcPr>
          <w:p w:rsidR="00FF1B49" w:rsidRPr="003675F2" w:rsidRDefault="00F0570D" w:rsidP="003675F2">
            <w:pPr>
              <w:jc w:val="center"/>
              <w:rPr>
                <w:b/>
              </w:rPr>
            </w:pPr>
            <w:r w:rsidRPr="003675F2">
              <w:rPr>
                <w:b/>
              </w:rPr>
              <w:t>10%</w:t>
            </w:r>
          </w:p>
        </w:tc>
      </w:tr>
    </w:tbl>
    <w:p w:rsidR="00B567E4" w:rsidRDefault="00B567E4" w:rsidP="00EA6927"/>
    <w:p w:rsidR="003B707A" w:rsidRDefault="004F4EC0" w:rsidP="004F4EC0">
      <w:pPr>
        <w:jc w:val="both"/>
      </w:pPr>
      <w:r>
        <w:t xml:space="preserve">Seoses töökohtade vähenemisega majanduslanguse perioodil on keskmisest kiiremini suurenenud noorte töötuse määr, ulatudes 2010. aastal 32,9%-ni. Siiski </w:t>
      </w:r>
      <w:r w:rsidR="00B73FBE">
        <w:t>hakkas</w:t>
      </w:r>
      <w:r w:rsidR="000D3D0D">
        <w:t xml:space="preserve"> näitaja</w:t>
      </w:r>
      <w:r>
        <w:t xml:space="preserve"> </w:t>
      </w:r>
      <w:r w:rsidR="00D174BF" w:rsidRPr="000D3D0D">
        <w:t>seejärel jõudsalt vähenema</w:t>
      </w:r>
      <w:r w:rsidR="00B6381F" w:rsidRPr="000D3D0D">
        <w:t xml:space="preserve"> ning</w:t>
      </w:r>
      <w:r w:rsidR="00B6381F" w:rsidRPr="00F97705">
        <w:rPr>
          <w:b/>
        </w:rPr>
        <w:t xml:space="preserve"> 201</w:t>
      </w:r>
      <w:r w:rsidR="0054491F">
        <w:rPr>
          <w:b/>
        </w:rPr>
        <w:t>5</w:t>
      </w:r>
      <w:r w:rsidR="00B6381F" w:rsidRPr="00F97705">
        <w:rPr>
          <w:b/>
        </w:rPr>
        <w:t>. aastal</w:t>
      </w:r>
      <w:r w:rsidR="00D174BF" w:rsidRPr="00F97705">
        <w:rPr>
          <w:b/>
        </w:rPr>
        <w:t xml:space="preserve"> </w:t>
      </w:r>
      <w:r w:rsidR="000D3D0D">
        <w:rPr>
          <w:b/>
        </w:rPr>
        <w:t>langes</w:t>
      </w:r>
      <w:r w:rsidR="00B6381F" w:rsidRPr="000D3D0D">
        <w:rPr>
          <w:b/>
        </w:rPr>
        <w:t xml:space="preserve"> </w:t>
      </w:r>
      <w:r w:rsidR="000D3D0D" w:rsidRPr="000D3D0D">
        <w:rPr>
          <w:b/>
        </w:rPr>
        <w:t xml:space="preserve">noorte töötus </w:t>
      </w:r>
      <w:r w:rsidR="0054491F">
        <w:rPr>
          <w:b/>
        </w:rPr>
        <w:t>13,1</w:t>
      </w:r>
      <w:r w:rsidR="00D174BF" w:rsidRPr="00F97705">
        <w:rPr>
          <w:b/>
        </w:rPr>
        <w:t>%</w:t>
      </w:r>
      <w:r w:rsidR="00B6381F" w:rsidRPr="00F97705">
        <w:rPr>
          <w:b/>
        </w:rPr>
        <w:t>ni</w:t>
      </w:r>
      <w:r w:rsidR="00B6381F">
        <w:t xml:space="preserve">, mis </w:t>
      </w:r>
      <w:r w:rsidR="00B6381F" w:rsidRPr="00B6381F">
        <w:t>on</w:t>
      </w:r>
      <w:r w:rsidR="00B6381F">
        <w:t xml:space="preserve"> aga</w:t>
      </w:r>
      <w:r w:rsidR="00B6381F" w:rsidRPr="00B6381F">
        <w:t xml:space="preserve"> endiselt ülejäänud tööealise elanikkonnaga võrreldes kaks ja pool korda kõrgem</w:t>
      </w:r>
      <w:r>
        <w:t xml:space="preserve">. </w:t>
      </w:r>
    </w:p>
    <w:p w:rsidR="003B707A" w:rsidRDefault="003B707A" w:rsidP="004F4EC0">
      <w:pPr>
        <w:jc w:val="both"/>
      </w:pPr>
    </w:p>
    <w:p w:rsidR="009D50B1" w:rsidRDefault="004F4EC0" w:rsidP="004F4EC0">
      <w:pPr>
        <w:jc w:val="both"/>
      </w:pPr>
      <w:r>
        <w:t>Eesmärgiks on viia noorte tööpuuduse määr vähemalt kriisieelsele tasemele</w:t>
      </w:r>
      <w:r w:rsidR="00A97DDE">
        <w:t xml:space="preserve"> (</w:t>
      </w:r>
      <w:r w:rsidR="00D63A89">
        <w:t>200</w:t>
      </w:r>
      <w:r w:rsidR="00491119">
        <w:t>7</w:t>
      </w:r>
      <w:r w:rsidR="00D63A89">
        <w:t>. aastal 1</w:t>
      </w:r>
      <w:r w:rsidR="00491119">
        <w:t>0,1</w:t>
      </w:r>
      <w:r w:rsidR="00D63A89">
        <w:t>%</w:t>
      </w:r>
      <w:r w:rsidR="00A97DDE">
        <w:t>)</w:t>
      </w:r>
      <w:r>
        <w:t>. Selleks on plaanitud rakendada spetsiaalselt noorte</w:t>
      </w:r>
      <w:r w:rsidR="00FC1269">
        <w:t>le</w:t>
      </w:r>
      <w:r>
        <w:t xml:space="preserve"> suunatud täiendavaid meetmeid</w:t>
      </w:r>
      <w:r w:rsidR="00B810C2">
        <w:t xml:space="preserve"> </w:t>
      </w:r>
      <w:r w:rsidR="00B810C2" w:rsidRPr="00B810C2">
        <w:t>(näiteks „EL noortegarantii“)</w:t>
      </w:r>
      <w:r>
        <w:t xml:space="preserve">. </w:t>
      </w:r>
      <w:r w:rsidR="009E4E73">
        <w:t>Olulisel kohal on kvaliteetse hariduse pakkumine ja koolist väljalangevuse ennetamise</w:t>
      </w:r>
      <w:r w:rsidR="00880F63">
        <w:t>ks</w:t>
      </w:r>
      <w:r w:rsidR="009E4E73">
        <w:t xml:space="preserve"> suunatud meetmed, mis </w:t>
      </w:r>
      <w:r w:rsidR="00EA1CE9">
        <w:t xml:space="preserve">kokkuvõttes tagavad noorte parema ettevalmistuse tööturule sisenemiseks. </w:t>
      </w:r>
    </w:p>
    <w:p w:rsidR="001B4648" w:rsidRDefault="001B4648" w:rsidP="004F4EC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2C241B" w:rsidRPr="003675F2" w:rsidTr="003675F2">
        <w:trPr>
          <w:trHeight w:val="70"/>
        </w:trPr>
        <w:tc>
          <w:tcPr>
            <w:tcW w:w="9212" w:type="dxa"/>
            <w:gridSpan w:val="3"/>
            <w:shd w:val="clear" w:color="auto" w:fill="CCECFF"/>
            <w:vAlign w:val="center"/>
          </w:tcPr>
          <w:p w:rsidR="002C241B" w:rsidRPr="003675F2" w:rsidRDefault="002C241B" w:rsidP="0021394C">
            <w:pPr>
              <w:rPr>
                <w:b/>
              </w:rPr>
            </w:pPr>
            <w:r w:rsidRPr="003675F2">
              <w:rPr>
                <w:rFonts w:ascii="Garamond" w:hAnsi="Garamond"/>
                <w:b/>
                <w:bCs/>
              </w:rPr>
              <w:t>Tööjõus osalemise määra suurendamine</w:t>
            </w:r>
            <w:r w:rsidR="00F0570D" w:rsidRPr="003675F2">
              <w:rPr>
                <w:rFonts w:ascii="Garamond" w:hAnsi="Garamond"/>
                <w:b/>
                <w:bCs/>
              </w:rPr>
              <w:t xml:space="preserve"> (</w:t>
            </w:r>
            <w:r w:rsidR="009D50B1" w:rsidRPr="003675F2">
              <w:rPr>
                <w:rFonts w:ascii="Garamond" w:hAnsi="Garamond"/>
                <w:b/>
                <w:bCs/>
              </w:rPr>
              <w:t xml:space="preserve">vanusegrupp </w:t>
            </w:r>
            <w:r w:rsidR="00F0570D" w:rsidRPr="003675F2">
              <w:rPr>
                <w:rFonts w:ascii="Garamond" w:hAnsi="Garamond"/>
                <w:b/>
                <w:bCs/>
              </w:rPr>
              <w:t>15-</w:t>
            </w:r>
            <w:r w:rsidR="00AF1282" w:rsidRPr="003675F2">
              <w:rPr>
                <w:rFonts w:ascii="Garamond" w:hAnsi="Garamond"/>
                <w:b/>
                <w:bCs/>
              </w:rPr>
              <w:t>64)</w:t>
            </w:r>
          </w:p>
        </w:tc>
      </w:tr>
      <w:tr w:rsidR="002C241B" w:rsidRPr="003675F2" w:rsidTr="003675F2">
        <w:tc>
          <w:tcPr>
            <w:tcW w:w="3070" w:type="dxa"/>
            <w:vAlign w:val="center"/>
          </w:tcPr>
          <w:p w:rsidR="002C241B" w:rsidRPr="003675F2" w:rsidRDefault="00D244CF" w:rsidP="003675F2">
            <w:pPr>
              <w:jc w:val="center"/>
              <w:rPr>
                <w:b/>
              </w:rPr>
            </w:pPr>
            <w:r>
              <w:rPr>
                <w:b/>
              </w:rPr>
              <w:t>Algtase</w:t>
            </w:r>
            <w:r w:rsidR="002C241B" w:rsidRPr="003675F2">
              <w:rPr>
                <w:b/>
              </w:rPr>
              <w:t xml:space="preserve"> 2010</w:t>
            </w:r>
          </w:p>
        </w:tc>
        <w:tc>
          <w:tcPr>
            <w:tcW w:w="3071" w:type="dxa"/>
            <w:vAlign w:val="center"/>
          </w:tcPr>
          <w:p w:rsidR="002C241B" w:rsidRPr="003675F2" w:rsidRDefault="0081555E" w:rsidP="003675F2">
            <w:pPr>
              <w:jc w:val="center"/>
              <w:rPr>
                <w:b/>
              </w:rPr>
            </w:pPr>
            <w:r w:rsidRPr="003675F2">
              <w:rPr>
                <w:b/>
              </w:rPr>
              <w:t>Eesti eesmärk</w:t>
            </w:r>
            <w:r w:rsidR="002C241B" w:rsidRPr="003675F2">
              <w:rPr>
                <w:b/>
              </w:rPr>
              <w:t xml:space="preserve"> 2015</w:t>
            </w:r>
          </w:p>
        </w:tc>
        <w:tc>
          <w:tcPr>
            <w:tcW w:w="3071" w:type="dxa"/>
            <w:vAlign w:val="center"/>
          </w:tcPr>
          <w:p w:rsidR="002C241B" w:rsidRPr="003675F2" w:rsidRDefault="002C241B" w:rsidP="003675F2">
            <w:pPr>
              <w:jc w:val="center"/>
              <w:rPr>
                <w:b/>
              </w:rPr>
            </w:pPr>
            <w:r w:rsidRPr="003675F2">
              <w:rPr>
                <w:b/>
              </w:rPr>
              <w:t>Eesti eesmärk 2020</w:t>
            </w:r>
          </w:p>
        </w:tc>
      </w:tr>
      <w:tr w:rsidR="002C241B" w:rsidRPr="003675F2" w:rsidTr="003675F2">
        <w:tc>
          <w:tcPr>
            <w:tcW w:w="3070" w:type="dxa"/>
            <w:vAlign w:val="center"/>
          </w:tcPr>
          <w:p w:rsidR="002C241B" w:rsidRPr="003675F2" w:rsidRDefault="00AF1282" w:rsidP="003675F2">
            <w:pPr>
              <w:jc w:val="center"/>
              <w:rPr>
                <w:b/>
              </w:rPr>
            </w:pPr>
            <w:r w:rsidRPr="003675F2">
              <w:rPr>
                <w:b/>
              </w:rPr>
              <w:t>73</w:t>
            </w:r>
            <w:r w:rsidR="00F0570D" w:rsidRPr="003675F2">
              <w:rPr>
                <w:b/>
              </w:rPr>
              <w:t>,4%</w:t>
            </w:r>
          </w:p>
        </w:tc>
        <w:tc>
          <w:tcPr>
            <w:tcW w:w="3071" w:type="dxa"/>
            <w:vAlign w:val="center"/>
          </w:tcPr>
          <w:p w:rsidR="002C241B" w:rsidRPr="003675F2" w:rsidRDefault="00AF1282" w:rsidP="003675F2">
            <w:pPr>
              <w:jc w:val="center"/>
              <w:rPr>
                <w:b/>
              </w:rPr>
            </w:pPr>
            <w:r w:rsidRPr="003675F2">
              <w:rPr>
                <w:b/>
              </w:rPr>
              <w:t>74</w:t>
            </w:r>
            <w:r w:rsidR="00F0570D" w:rsidRPr="003675F2">
              <w:rPr>
                <w:b/>
              </w:rPr>
              <w:t>%</w:t>
            </w:r>
          </w:p>
        </w:tc>
        <w:tc>
          <w:tcPr>
            <w:tcW w:w="3071" w:type="dxa"/>
            <w:vAlign w:val="center"/>
          </w:tcPr>
          <w:p w:rsidR="002C241B" w:rsidRPr="003675F2" w:rsidRDefault="00AF1282" w:rsidP="003675F2">
            <w:pPr>
              <w:jc w:val="center"/>
              <w:rPr>
                <w:b/>
              </w:rPr>
            </w:pPr>
            <w:r w:rsidRPr="003675F2">
              <w:rPr>
                <w:b/>
              </w:rPr>
              <w:t>75</w:t>
            </w:r>
            <w:r w:rsidR="00F0570D" w:rsidRPr="003675F2">
              <w:rPr>
                <w:b/>
              </w:rPr>
              <w:t>%</w:t>
            </w:r>
          </w:p>
        </w:tc>
      </w:tr>
    </w:tbl>
    <w:p w:rsidR="00B567E4" w:rsidRDefault="00B567E4" w:rsidP="00EA6927"/>
    <w:p w:rsidR="00C816B9" w:rsidRDefault="00802D00" w:rsidP="00C816B9">
      <w:pPr>
        <w:jc w:val="both"/>
      </w:pPr>
      <w:r>
        <w:t>Vaatamata</w:t>
      </w:r>
      <w:r w:rsidR="006C01B8">
        <w:t xml:space="preserve"> majanduskriisi ajal suurenenud tööpuuduse</w:t>
      </w:r>
      <w:r w:rsidR="00880F63">
        <w:t>le</w:t>
      </w:r>
      <w:r w:rsidR="006C01B8">
        <w:t xml:space="preserve"> on inimeste majanduslik aktiivsus ja tööjõus osalemise määr </w:t>
      </w:r>
      <w:r w:rsidR="00F44AA0">
        <w:t xml:space="preserve">näidanud </w:t>
      </w:r>
      <w:r w:rsidR="00A11930">
        <w:t xml:space="preserve">viimastel aastatel </w:t>
      </w:r>
      <w:r w:rsidR="00F44AA0">
        <w:t>stabiilset kasvu</w:t>
      </w:r>
      <w:r w:rsidR="006C01B8">
        <w:t xml:space="preserve">. Positiivse trendina on osa tööpuuduse suurenemisest põhjustatud mitteaktiivse elanikkonna vähenemisest ja </w:t>
      </w:r>
      <w:r>
        <w:t xml:space="preserve">varem tööturult eemal olnud inimeste </w:t>
      </w:r>
      <w:r w:rsidR="006C01B8">
        <w:t xml:space="preserve">tööotsingute alustamisest. Eesmärgi seadmisel on võetud arvesse majanduskeskkonna ja tööturu taastumise </w:t>
      </w:r>
      <w:r w:rsidR="00A11930">
        <w:t xml:space="preserve">prognoositavat tempot ning demograafilistest trendidest tulenevat tööjõu vähenemist. </w:t>
      </w:r>
      <w:r w:rsidR="008E5FA3" w:rsidRPr="00A627ED">
        <w:rPr>
          <w:b/>
        </w:rPr>
        <w:t>201</w:t>
      </w:r>
      <w:r w:rsidR="00F44AA0">
        <w:rPr>
          <w:b/>
        </w:rPr>
        <w:t>5</w:t>
      </w:r>
      <w:r w:rsidR="008E5FA3" w:rsidRPr="00A627ED">
        <w:rPr>
          <w:b/>
        </w:rPr>
        <w:t xml:space="preserve">. aastal oli </w:t>
      </w:r>
      <w:r w:rsidR="006D0023" w:rsidRPr="00A627ED">
        <w:rPr>
          <w:b/>
        </w:rPr>
        <w:t xml:space="preserve">tööjõus osalemise määr 15-64 vanusegrupis </w:t>
      </w:r>
      <w:r w:rsidR="008E5FA3" w:rsidRPr="00A627ED">
        <w:rPr>
          <w:b/>
        </w:rPr>
        <w:t>7</w:t>
      </w:r>
      <w:r w:rsidR="00F44AA0">
        <w:rPr>
          <w:b/>
        </w:rPr>
        <w:t>6,3</w:t>
      </w:r>
      <w:r w:rsidR="008E5FA3" w:rsidRPr="00A627ED">
        <w:rPr>
          <w:b/>
        </w:rPr>
        <w:t>%.</w:t>
      </w:r>
      <w:r w:rsidR="00C816B9">
        <w:rPr>
          <w:b/>
        </w:rPr>
        <w:t xml:space="preserve"> Sellega on täidetud nii 2015. kui 2020. aastaks seatud eesmärgid.</w:t>
      </w:r>
    </w:p>
    <w:p w:rsidR="002C241B" w:rsidRDefault="002C241B" w:rsidP="00EA6927"/>
    <w:p w:rsidR="00EA6927" w:rsidRDefault="0049526B" w:rsidP="00EA6927">
      <w:pPr>
        <w:pStyle w:val="ldpealkirjaalapealkiri"/>
        <w:spacing w:before="120" w:after="120"/>
        <w:jc w:val="both"/>
        <w:rPr>
          <w:rFonts w:ascii="Garamond" w:hAnsi="Garamond"/>
          <w:b/>
          <w:bCs/>
          <w:color w:val="000080"/>
          <w:sz w:val="24"/>
        </w:rPr>
      </w:pPr>
      <w:r>
        <w:rPr>
          <w:rFonts w:ascii="Garamond" w:hAnsi="Garamond"/>
          <w:b/>
          <w:bCs/>
          <w:color w:val="000080"/>
          <w:sz w:val="24"/>
        </w:rPr>
        <w:t>Valitsuse poliitika põhisuunad</w:t>
      </w:r>
    </w:p>
    <w:p w:rsidR="009B7842" w:rsidRPr="00B83A51" w:rsidRDefault="009B7842" w:rsidP="009B7842">
      <w:pPr>
        <w:jc w:val="both"/>
        <w:rPr>
          <w:b/>
        </w:rPr>
      </w:pPr>
      <w:r w:rsidRPr="00B83A51">
        <w:rPr>
          <w:b/>
        </w:rPr>
        <w:t>Hariduse kvaliteet, kättesaadavus ja efektiivsus</w:t>
      </w:r>
    </w:p>
    <w:p w:rsidR="009B7842" w:rsidRPr="00B83A51" w:rsidRDefault="009B7842" w:rsidP="009B7842">
      <w:pPr>
        <w:jc w:val="both"/>
        <w:rPr>
          <w:b/>
        </w:rPr>
      </w:pPr>
    </w:p>
    <w:p w:rsidR="009B7842" w:rsidRPr="00B83A51" w:rsidRDefault="009B7842" w:rsidP="009B7842">
      <w:pPr>
        <w:shd w:val="clear" w:color="auto" w:fill="CCCCCC"/>
        <w:jc w:val="both"/>
        <w:rPr>
          <w:b/>
        </w:rPr>
      </w:pPr>
      <w:r w:rsidRPr="00B83A51">
        <w:rPr>
          <w:b/>
        </w:rPr>
        <w:t xml:space="preserve">1. Haridussüsteemi kvaliteedi parandamine ning kohandumine demograafiliste muutustega. </w:t>
      </w:r>
    </w:p>
    <w:p w:rsidR="009B7842" w:rsidRPr="00B83A51" w:rsidRDefault="009B7842" w:rsidP="009B7842">
      <w:pPr>
        <w:jc w:val="both"/>
      </w:pPr>
    </w:p>
    <w:p w:rsidR="001802D4" w:rsidRPr="00B83A51" w:rsidRDefault="001802D4" w:rsidP="001802D4">
      <w:pPr>
        <w:jc w:val="both"/>
      </w:pPr>
      <w:r w:rsidRPr="00B83A51">
        <w:t xml:space="preserve">Demograafilistest arengutest tulenev õpilaste arvu vähenemine mõjutab kõige enam gümnaasiumivõrku ning seejärel kõrgkoole. Põhikoolide ja kutseõppeasutuste arv on viimastel aastatel vähenenud ning seega kohandumine demograafiliste arengutega on olulisel määral toimunud. </w:t>
      </w:r>
      <w:r w:rsidRPr="00B83A51">
        <w:rPr>
          <w:b/>
        </w:rPr>
        <w:t>Tagamaks tasakaalu üldhariduse kvaliteedi ja kättesaadavuse vahel</w:t>
      </w:r>
      <w:r w:rsidRPr="00B83A51">
        <w:t xml:space="preserve"> peaks põhiharidus olema kättesaadav võimalikult kodu lähedal, gümnaasiumitaseme õpe aga pigem maakondlikes tõmbekeskustes. </w:t>
      </w:r>
    </w:p>
    <w:p w:rsidR="001802D4" w:rsidRPr="00B83A51" w:rsidRDefault="001802D4" w:rsidP="001802D4">
      <w:pPr>
        <w:jc w:val="both"/>
      </w:pPr>
    </w:p>
    <w:p w:rsidR="00B13195" w:rsidRPr="00B83A51" w:rsidRDefault="001802D4" w:rsidP="00B13195">
      <w:pPr>
        <w:jc w:val="both"/>
      </w:pPr>
      <w:r w:rsidRPr="00B83A51">
        <w:t>Samuti on vähenenud kõrgkoolide arv ning tulenevalt rangemate kvaliteedi nõuete rakend</w:t>
      </w:r>
      <w:r>
        <w:t>a</w:t>
      </w:r>
      <w:r w:rsidRPr="00B83A51">
        <w:t>mise</w:t>
      </w:r>
      <w:r w:rsidR="003F508A">
        <w:t xml:space="preserve">st </w:t>
      </w:r>
      <w:r w:rsidR="00416578">
        <w:t>on</w:t>
      </w:r>
      <w:r w:rsidR="003F508A">
        <w:t xml:space="preserve"> </w:t>
      </w:r>
      <w:r w:rsidR="00416578">
        <w:t>k</w:t>
      </w:r>
      <w:r w:rsidRPr="00B83A51">
        <w:t xml:space="preserve">õrghariduses </w:t>
      </w:r>
      <w:r w:rsidR="00416578">
        <w:t>jõutud</w:t>
      </w:r>
      <w:r w:rsidRPr="00B83A51">
        <w:t xml:space="preserve"> olukorrani, kus Eestis tegutsevad ainult sellised </w:t>
      </w:r>
      <w:r w:rsidRPr="00B83A51">
        <w:lastRenderedPageBreak/>
        <w:t xml:space="preserve">õppeasutused, kellel on õigus riiklikult tunnustatud diplomite väljastamiseks. </w:t>
      </w:r>
      <w:r w:rsidRPr="00B83A51">
        <w:rPr>
          <w:b/>
        </w:rPr>
        <w:t>Kõrgkoolide vaheline tööjaotus ja kompetentside koondamine</w:t>
      </w:r>
      <w:r w:rsidRPr="00B83A51">
        <w:t xml:space="preserve"> on üks suuremaid kõrgharidussüsteemi</w:t>
      </w:r>
      <w:r w:rsidR="007D16E9">
        <w:t>- ja reformi</w:t>
      </w:r>
      <w:r w:rsidRPr="00B83A51">
        <w:t xml:space="preserve"> </w:t>
      </w:r>
      <w:r>
        <w:t>eesmärke</w:t>
      </w:r>
      <w:r w:rsidRPr="00B83A51">
        <w:t>. Pikas perspektiivis aitab õppeasutuste selgemale eristumisele kaasa 2011.</w:t>
      </w:r>
      <w:r>
        <w:t xml:space="preserve"> </w:t>
      </w:r>
      <w:r w:rsidRPr="00B83A51">
        <w:t>a</w:t>
      </w:r>
      <w:r>
        <w:t>astal</w:t>
      </w:r>
      <w:r w:rsidRPr="00B83A51">
        <w:t xml:space="preserve"> vastu</w:t>
      </w:r>
      <w:r w:rsidR="00D47D6C">
        <w:t xml:space="preserve"> </w:t>
      </w:r>
      <w:r w:rsidRPr="00B83A51">
        <w:t>võet</w:t>
      </w:r>
      <w:r w:rsidR="00D47D6C">
        <w:t>ud</w:t>
      </w:r>
      <w:r w:rsidRPr="00B83A51">
        <w:t xml:space="preserve"> uus institutsionaalse akrediteerimise kord</w:t>
      </w:r>
      <w:r w:rsidR="00C25D05">
        <w:t>. Üleminek tegevustoetuste süsteemile varasema riiklikul koolitustellimusel põhineva vastuvõtusüsteemi asemel, aitab parandada kõrgharidussüsteemi efektiivsust ning tulemuslikkust</w:t>
      </w:r>
      <w:r w:rsidR="00B13195">
        <w:t xml:space="preserve"> ja tõsta rahastamist üliõpilase kohta. </w:t>
      </w:r>
      <w:r w:rsidR="00B13195" w:rsidRPr="00BA1754">
        <w:t xml:space="preserve">Vajaduspõhiste õppetoetuste rakendamine ning stipendiumite süsteemi laiendamine suurendab </w:t>
      </w:r>
      <w:r w:rsidR="00B13195" w:rsidRPr="002772AD">
        <w:t>ligipääsu kõrgharidusele</w:t>
      </w:r>
      <w:r w:rsidR="00B13195" w:rsidRPr="00A975EB">
        <w:t xml:space="preserve"> ja motiveerib noori õppima majanduse kasvuvaldkondades</w:t>
      </w:r>
      <w:r w:rsidR="00B13195" w:rsidRPr="00BA1754">
        <w:t>.</w:t>
      </w:r>
      <w:r w:rsidR="00B13195">
        <w:t xml:space="preserve"> </w:t>
      </w:r>
    </w:p>
    <w:p w:rsidR="001802D4" w:rsidRPr="00B83A51" w:rsidRDefault="001802D4" w:rsidP="001802D4">
      <w:pPr>
        <w:jc w:val="both"/>
      </w:pPr>
    </w:p>
    <w:p w:rsidR="00904919" w:rsidRDefault="00904919" w:rsidP="00904919">
      <w:pPr>
        <w:autoSpaceDE w:val="0"/>
        <w:autoSpaceDN w:val="0"/>
        <w:adjustRightInd w:val="0"/>
        <w:jc w:val="both"/>
      </w:pPr>
      <w:r>
        <w:t xml:space="preserve">Võrreldes EL riikide keskmisega jätkab Eestis suhteliselt väike osakaal põhikooli lõpetajatest oma õpinguid kutsehariduses. Samas on nõudlus tööturu vajadustele vastava kvalifitseeritud oskustööjõu järele suur, täpsemat vajadust sektorite lõikes aitab määratleda käivitunud OSKA süsteem.  Oluline on, et </w:t>
      </w:r>
      <w:r>
        <w:rPr>
          <w:b/>
        </w:rPr>
        <w:t>kutseharidussüsteem tagaks ettevõtete, ühiskonna ja inimese enda vajadustele vastavate erialade õpetamise.</w:t>
      </w:r>
      <w:r>
        <w:t xml:space="preserve"> Kutsehariduse õppekavade arendamine väljundipõhisteks, tihedam koostöö teiste haridusasutustega, kvalifikatsiooniraamistiku kujundamine, kutseõppeasutuste muutmine kompetentsikeskusteks ning ettevõtjate kaasamine kutsehariduse valikute langetamisel toetavad kutsehariduse muutumist atraktiivsemaks ning enam ühiskonna vajadusi arvestavamaks. </w:t>
      </w:r>
    </w:p>
    <w:p w:rsidR="00EB3A66" w:rsidRDefault="00EB3A66" w:rsidP="001802D4">
      <w:pPr>
        <w:autoSpaceDE w:val="0"/>
        <w:autoSpaceDN w:val="0"/>
        <w:adjustRightInd w:val="0"/>
        <w:jc w:val="both"/>
        <w:rPr>
          <w:b/>
        </w:rPr>
      </w:pPr>
    </w:p>
    <w:p w:rsidR="009162E9" w:rsidRDefault="009162E9" w:rsidP="009162E9">
      <w:pPr>
        <w:autoSpaceDE w:val="0"/>
        <w:autoSpaceDN w:val="0"/>
        <w:adjustRightInd w:val="0"/>
        <w:jc w:val="both"/>
        <w:rPr>
          <w:b/>
        </w:rPr>
      </w:pPr>
      <w:r>
        <w:t xml:space="preserve">Oluline on ettevõtete endi suurem panus </w:t>
      </w:r>
      <w:r w:rsidRPr="009162E9">
        <w:rPr>
          <w:b/>
        </w:rPr>
        <w:t>õpipoisiõppesse ja praktikakorraldusse</w:t>
      </w:r>
      <w:r>
        <w:t xml:space="preserve"> (sh. ka kõrghariduses), mis aitab kaasa inimese kiiremale ja sujuvamale sisenemisele tööellu. </w:t>
      </w:r>
      <w:r w:rsidR="00F519B4" w:rsidRPr="006C2553">
        <w:t xml:space="preserve">Kuigi oskustöötajate järele on suur nõudlus, on probleemiks kutseõppe lõpetanute madal palk ning seetõttu ka suure hulga lõpetanute lahkumine välismaale (vt edukus tööturul </w:t>
      </w:r>
      <w:proofErr w:type="spellStart"/>
      <w:r w:rsidR="00F519B4" w:rsidRPr="006C2553">
        <w:t>HaridusSilm.ee</w:t>
      </w:r>
      <w:proofErr w:type="spellEnd"/>
      <w:r w:rsidR="00F519B4" w:rsidRPr="006C2553">
        <w:t>). See pärsib omakorda valikute langetamist kutseõppe kasuks.</w:t>
      </w:r>
      <w:r w:rsidR="00F519B4">
        <w:t xml:space="preserve"> </w:t>
      </w:r>
      <w:r>
        <w:t>Riigi haridussüsteemi tuleks vaadata tervikuna elukestva õppe eesmärkidest lähtuvalt, mis tähendaks muuhulgas ka kutsehariduse õppekohtade planeerimist terviklikult teiste õppetasemetega koos.</w:t>
      </w:r>
      <w:r>
        <w:rPr>
          <w:b/>
        </w:rPr>
        <w:t xml:space="preserve"> </w:t>
      </w:r>
    </w:p>
    <w:p w:rsidR="009162E9" w:rsidRDefault="009162E9" w:rsidP="001802D4">
      <w:pPr>
        <w:autoSpaceDE w:val="0"/>
        <w:autoSpaceDN w:val="0"/>
        <w:adjustRightInd w:val="0"/>
        <w:jc w:val="both"/>
        <w:rPr>
          <w:b/>
        </w:rPr>
      </w:pPr>
    </w:p>
    <w:p w:rsidR="00A52E68" w:rsidRDefault="00A52E68" w:rsidP="00A52E68">
      <w:pPr>
        <w:autoSpaceDE w:val="0"/>
        <w:autoSpaceDN w:val="0"/>
        <w:adjustRightInd w:val="0"/>
        <w:jc w:val="both"/>
      </w:pPr>
      <w:r>
        <w:t xml:space="preserve">Noorte valikute suunamiseks, väljalangevuse ning töötuse vähendamiseks </w:t>
      </w:r>
      <w:r>
        <w:rPr>
          <w:b/>
        </w:rPr>
        <w:t>tuleb arendada tugisüsteeme, sh õppenõustamist- ja karjääriteenuseid</w:t>
      </w:r>
      <w:r>
        <w:t xml:space="preserve"> (karjääriõpe, karjääriinfo ja karjäärinõustamine). Lisaks on noorte valmisoleku toetamiseks nende ees seisvate väljakutsetega toimetulekul oluline roll mitteformaalsel haridusel ja noorsootööl. Noorte paremaks kohanemiseks tööeluga on üldhariduses vajalik lisaks faktiteadmistele järjest enam arendada </w:t>
      </w:r>
      <w:r>
        <w:rPr>
          <w:b/>
        </w:rPr>
        <w:t>loovust ja ettevõtlikkust ning kujundada kõiki võtmepädevusi</w:t>
      </w:r>
      <w:r>
        <w:t>. Tõhustada tuleb ka tugispetsialistide ettevalmistust, pakutava toe sisulist kvaliteeti ning kättesaadavust, sh kutseõppes. Kutsehariduses on oluline muuta koolide rahastamismudel senisest tulemuspõhisemaks.</w:t>
      </w:r>
    </w:p>
    <w:p w:rsidR="00AB065F" w:rsidRDefault="00AB065F" w:rsidP="001802D4">
      <w:pPr>
        <w:autoSpaceDE w:val="0"/>
        <w:autoSpaceDN w:val="0"/>
        <w:adjustRightInd w:val="0"/>
        <w:jc w:val="both"/>
      </w:pPr>
    </w:p>
    <w:p w:rsidR="001802D4" w:rsidRPr="00B83A51" w:rsidRDefault="001802D4" w:rsidP="00FB04FC">
      <w:pPr>
        <w:autoSpaceDE w:val="0"/>
        <w:autoSpaceDN w:val="0"/>
        <w:adjustRightInd w:val="0"/>
        <w:jc w:val="both"/>
      </w:pPr>
      <w:r w:rsidRPr="00B83A51">
        <w:t>Gümnaasiumilõpetajate arvu vähenemine toob endaga kaasa vastuvõtunumbrite vähenemise bakalaureuse- ja rakenduskõrghariduslikus õppes</w:t>
      </w:r>
      <w:r w:rsidR="001E109A">
        <w:t xml:space="preserve">, </w:t>
      </w:r>
      <w:r w:rsidR="00C00357">
        <w:t>keskharidusjärgses kutseõppes</w:t>
      </w:r>
      <w:r w:rsidR="001E109A">
        <w:t>, aga ka magistritaseme õppes</w:t>
      </w:r>
      <w:r w:rsidR="00F170A4">
        <w:t>. K</w:t>
      </w:r>
      <w:r w:rsidRPr="00B83A51">
        <w:t xml:space="preserve">õrgkoolidele tähendab </w:t>
      </w:r>
      <w:r w:rsidR="00F170A4">
        <w:t xml:space="preserve">see </w:t>
      </w:r>
      <w:r w:rsidRPr="00B83A51">
        <w:t>elukestva õppe võimaluste tähtsamaks muut</w:t>
      </w:r>
      <w:r w:rsidR="001E109A">
        <w:t>u</w:t>
      </w:r>
      <w:r w:rsidRPr="00B83A51">
        <w:t>mist magistriõppe tasemel, aga ka õppekavade arvu vähen</w:t>
      </w:r>
      <w:r w:rsidR="001E109A">
        <w:t>da</w:t>
      </w:r>
      <w:r w:rsidRPr="00B83A51">
        <w:t xml:space="preserve">mist. </w:t>
      </w:r>
    </w:p>
    <w:p w:rsidR="001802D4" w:rsidRPr="00B83A51" w:rsidRDefault="001802D4" w:rsidP="001802D4">
      <w:pPr>
        <w:jc w:val="both"/>
      </w:pPr>
    </w:p>
    <w:p w:rsidR="00205C18" w:rsidRPr="00786C76" w:rsidRDefault="001802D4" w:rsidP="00205C18">
      <w:pPr>
        <w:jc w:val="both"/>
      </w:pPr>
      <w:r w:rsidRPr="00FB04FC">
        <w:t xml:space="preserve">Õpetajakoolitus peab tagama oskuse täita õppekava üldeesmärke ja kujundada õpilaste üldpädevusi. </w:t>
      </w:r>
      <w:r w:rsidR="00CE16E2">
        <w:t xml:space="preserve">Õpetajahariduse ja esmase ettevalmistuse kvalitatiivne tase peab tõusma ning hilisemat karjääri tuleks toetada arenguvajadustele vastava sisulise täiendkoolitusega. </w:t>
      </w:r>
      <w:r w:rsidRPr="00FB04FC">
        <w:t>Õpetajate palgasüsteem peab  soodustama õpetajate initsiati</w:t>
      </w:r>
      <w:r w:rsidR="003F508A" w:rsidRPr="00FB04FC">
        <w:t xml:space="preserve">ivi, </w:t>
      </w:r>
      <w:r w:rsidRPr="00FB04FC">
        <w:t>loovust ja professionaalset arengut</w:t>
      </w:r>
      <w:r w:rsidR="00367639">
        <w:t>, sh väärtustama õpetaja elukutset</w:t>
      </w:r>
      <w:r w:rsidRPr="00205C18">
        <w:t xml:space="preserve">. </w:t>
      </w:r>
      <w:r w:rsidR="00205C18" w:rsidRPr="00205C18">
        <w:t xml:space="preserve">Tagada tuleb piisav arv motiveeritud ja heade teadmistega loodusteaduste õpetajaid nii põhikoolis kui gümnaasiumis, soodustada </w:t>
      </w:r>
      <w:r w:rsidR="00205C18" w:rsidRPr="0067540E">
        <w:rPr>
          <w:b/>
        </w:rPr>
        <w:lastRenderedPageBreak/>
        <w:t>loodusteaduste õpetajaks</w:t>
      </w:r>
      <w:r w:rsidR="00205C18" w:rsidRPr="00205C18">
        <w:t xml:space="preserve"> õppida soovijate arvu kasvu ning luua võimalusi magistrikraadiga inimeste ümberõppeks valdkonna õpetajaks.</w:t>
      </w:r>
    </w:p>
    <w:p w:rsidR="001802D4" w:rsidRDefault="001802D4" w:rsidP="001802D4">
      <w:pPr>
        <w:jc w:val="both"/>
      </w:pPr>
    </w:p>
    <w:p w:rsidR="001802D4" w:rsidRPr="00B83A51" w:rsidRDefault="001802D4" w:rsidP="001802D4">
      <w:pPr>
        <w:jc w:val="both"/>
      </w:pPr>
      <w:r w:rsidRPr="00B83A51">
        <w:t xml:space="preserve">Järgnevate perioodide eelarvevahendite planeerimisel tuleb arvestada, et </w:t>
      </w:r>
      <w:r w:rsidR="002557A7">
        <w:t xml:space="preserve">mõnes osas </w:t>
      </w:r>
      <w:r w:rsidRPr="00B83A51">
        <w:t xml:space="preserve">infrastruktuuri investeeringud vähenevad, kuna suur osa infrastruktuurist on juba loodud </w:t>
      </w:r>
      <w:r>
        <w:t>või</w:t>
      </w:r>
      <w:r w:rsidRPr="00B83A51">
        <w:t xml:space="preserve"> renoveeritud. See võimaldab rohkem rahastada </w:t>
      </w:r>
      <w:r>
        <w:t xml:space="preserve">haridussüsteemi </w:t>
      </w:r>
      <w:r w:rsidRPr="00B83A51">
        <w:t xml:space="preserve">sisulisi arendusi. Samas tuleb silmas pidada, et püsikulud uue </w:t>
      </w:r>
      <w:proofErr w:type="spellStart"/>
      <w:r w:rsidRPr="00B83A51">
        <w:t>taristu</w:t>
      </w:r>
      <w:proofErr w:type="spellEnd"/>
      <w:r w:rsidRPr="00B83A51">
        <w:t xml:space="preserve"> ülevalpidamiseks tekitavad </w:t>
      </w:r>
      <w:r>
        <w:t xml:space="preserve">eelarvele </w:t>
      </w:r>
      <w:r w:rsidRPr="00B83A51">
        <w:t>lisapingeid.</w:t>
      </w:r>
      <w:r w:rsidR="005F72A1">
        <w:t xml:space="preserve"> </w:t>
      </w:r>
      <w:r w:rsidR="005F72A1" w:rsidRPr="00BB0EAD">
        <w:t>Valitsussektori hariduskulud moodu</w:t>
      </w:r>
      <w:r w:rsidR="005F72A1">
        <w:t>stasid 2014. aastal 5,6% SKP-st ning on võetud eesmärk, et</w:t>
      </w:r>
      <w:r w:rsidR="005F72A1" w:rsidRPr="00BB0EAD">
        <w:t>, et hariduskulude osakaal riigieelarvest ei kahane ning püsib vahemikus 6-7% SKP-st.</w:t>
      </w:r>
    </w:p>
    <w:p w:rsidR="001802D4" w:rsidRPr="00B83A51" w:rsidRDefault="001802D4" w:rsidP="001802D4">
      <w:pPr>
        <w:jc w:val="both"/>
        <w:rPr>
          <w:color w:val="000000"/>
        </w:rPr>
      </w:pPr>
    </w:p>
    <w:p w:rsidR="001802D4" w:rsidRDefault="001802D4" w:rsidP="001802D4">
      <w:pPr>
        <w:jc w:val="both"/>
        <w:rPr>
          <w:color w:val="000000"/>
        </w:rPr>
      </w:pPr>
      <w:r w:rsidRPr="00B83A51">
        <w:rPr>
          <w:color w:val="000000"/>
        </w:rPr>
        <w:t xml:space="preserve">Rahvusvahelistumisest tingituna tuleb järgnevatel aastatel rohkem tähelepanu pöörata sisserändaja taustaga laste hariduse korraldamisele, lähtudes </w:t>
      </w:r>
      <w:proofErr w:type="spellStart"/>
      <w:r w:rsidRPr="00B83A51">
        <w:rPr>
          <w:color w:val="000000"/>
        </w:rPr>
        <w:t>lõimumise</w:t>
      </w:r>
      <w:proofErr w:type="spellEnd"/>
      <w:r>
        <w:rPr>
          <w:color w:val="000000"/>
        </w:rPr>
        <w:t xml:space="preserve"> e</w:t>
      </w:r>
      <w:r w:rsidRPr="00B83A51">
        <w:rPr>
          <w:color w:val="000000"/>
        </w:rPr>
        <w:t xml:space="preserve">esmärkidest. </w:t>
      </w:r>
      <w:r>
        <w:rPr>
          <w:color w:val="000000"/>
        </w:rPr>
        <w:t>Ol</w:t>
      </w:r>
      <w:r w:rsidRPr="00B83A51">
        <w:rPr>
          <w:color w:val="000000"/>
        </w:rPr>
        <w:t xml:space="preserve">uline </w:t>
      </w:r>
      <w:r>
        <w:rPr>
          <w:color w:val="000000"/>
        </w:rPr>
        <w:t xml:space="preserve">on </w:t>
      </w:r>
      <w:r w:rsidRPr="00B83A51">
        <w:rPr>
          <w:color w:val="000000"/>
        </w:rPr>
        <w:t>arvestada uusimmigrantide rahvuste</w:t>
      </w:r>
      <w:r>
        <w:rPr>
          <w:color w:val="000000"/>
        </w:rPr>
        <w:t xml:space="preserve"> ja kultuurilise</w:t>
      </w:r>
      <w:r w:rsidRPr="00B83A51">
        <w:rPr>
          <w:color w:val="000000"/>
        </w:rPr>
        <w:t xml:space="preserve"> mitmekesisuse suurenemisega. </w:t>
      </w:r>
      <w:r w:rsidRPr="00264502">
        <w:rPr>
          <w:b/>
          <w:color w:val="000000"/>
        </w:rPr>
        <w:t xml:space="preserve">Rahvusvahelise </w:t>
      </w:r>
      <w:r w:rsidR="00B13195">
        <w:rPr>
          <w:b/>
          <w:color w:val="000000"/>
        </w:rPr>
        <w:t xml:space="preserve">alus- ja </w:t>
      </w:r>
      <w:r w:rsidRPr="00264502">
        <w:rPr>
          <w:b/>
          <w:color w:val="000000"/>
        </w:rPr>
        <w:t>üldhariduse kättesaadavus on eeltingimuseks kõrge kvalifikatsiooniga töötajate Eestisse tööle tulemisel.</w:t>
      </w:r>
      <w:r w:rsidRPr="00B83A51">
        <w:rPr>
          <w:color w:val="000000"/>
        </w:rPr>
        <w:t xml:space="preserve"> </w:t>
      </w:r>
    </w:p>
    <w:p w:rsidR="00730791" w:rsidRPr="00B83A51" w:rsidRDefault="001802D4" w:rsidP="005D68F0">
      <w:pPr>
        <w:spacing w:before="100" w:beforeAutospacing="1" w:after="100" w:afterAutospacing="1"/>
        <w:jc w:val="both"/>
        <w:rPr>
          <w:b/>
        </w:rPr>
      </w:pPr>
      <w:r w:rsidRPr="00730791">
        <w:t xml:space="preserve">Valdkonnas planeeritud olulisemad reformid </w:t>
      </w:r>
      <w:r>
        <w:t>on üldhariduse koolivõrgu optimeerimine ning põhikooli ja gümnaasiumi selgem lahutamine, põhikooli ja gümnaasiumi riiklike õppekavade täielik rakendamine, kutsehariduse kvaliteedi ja tööturu vajadustele vastavuse suurendamine</w:t>
      </w:r>
      <w:r w:rsidR="00B94805">
        <w:t xml:space="preserve">. </w:t>
      </w:r>
      <w:r w:rsidR="00A633AE">
        <w:t>Juba on l</w:t>
      </w:r>
      <w:r w:rsidR="00B94805">
        <w:t>oodud on võimalused</w:t>
      </w:r>
      <w:r>
        <w:t xml:space="preserve"> </w:t>
      </w:r>
      <w:r w:rsidRPr="00A97A59">
        <w:rPr>
          <w:rFonts w:eastAsia="Calibri"/>
          <w:bCs/>
          <w:iCs/>
        </w:rPr>
        <w:t xml:space="preserve">rahvusvahelise üldhariduse (sh IBO õppekavade rakendamine) </w:t>
      </w:r>
      <w:r w:rsidR="00B94805">
        <w:rPr>
          <w:rFonts w:eastAsia="Calibri"/>
          <w:bCs/>
          <w:iCs/>
        </w:rPr>
        <w:t>laiendamiseks</w:t>
      </w:r>
      <w:r w:rsidRPr="00A97A59">
        <w:rPr>
          <w:rFonts w:eastAsia="Calibri"/>
          <w:bCs/>
          <w:iCs/>
        </w:rPr>
        <w:t xml:space="preserve"> Tallinnas ja Tartus ning </w:t>
      </w:r>
      <w:r w:rsidR="00B94805">
        <w:rPr>
          <w:rFonts w:eastAsia="Calibri"/>
          <w:bCs/>
          <w:iCs/>
        </w:rPr>
        <w:t>asutatud Euroopa kool Tallinnas</w:t>
      </w:r>
      <w:r w:rsidRPr="00A97A59">
        <w:rPr>
          <w:rFonts w:eastAsia="Calibri"/>
          <w:bCs/>
          <w:iCs/>
        </w:rPr>
        <w:t>.</w:t>
      </w:r>
    </w:p>
    <w:p w:rsidR="009B7842" w:rsidRPr="00B83A51" w:rsidRDefault="009B7842" w:rsidP="009B7842">
      <w:pPr>
        <w:shd w:val="clear" w:color="auto" w:fill="CCCCCC"/>
        <w:autoSpaceDE w:val="0"/>
        <w:autoSpaceDN w:val="0"/>
        <w:adjustRightInd w:val="0"/>
        <w:ind w:left="360" w:hanging="360"/>
        <w:rPr>
          <w:b/>
        </w:rPr>
      </w:pPr>
      <w:r w:rsidRPr="00B83A51">
        <w:rPr>
          <w:b/>
        </w:rPr>
        <w:t xml:space="preserve">2. Tööjõu väljaõppe vastavusse viimine kaasaegse tööturu vajadustega (sh </w:t>
      </w:r>
      <w:r w:rsidR="00F463B7">
        <w:rPr>
          <w:b/>
        </w:rPr>
        <w:t xml:space="preserve">kasutades </w:t>
      </w:r>
      <w:r w:rsidRPr="00B83A51">
        <w:rPr>
          <w:b/>
        </w:rPr>
        <w:t>paremini EL siseturu ja teiste poliitikate võimalusi) ning kutse- või kõrghariduse tasemel erialase haridusega inimeste osakaalu suurendamine.</w:t>
      </w:r>
    </w:p>
    <w:p w:rsidR="009B7842" w:rsidRPr="00B83A51" w:rsidRDefault="009B7842" w:rsidP="009B7842">
      <w:pPr>
        <w:jc w:val="both"/>
      </w:pPr>
    </w:p>
    <w:p w:rsidR="00F463B7" w:rsidRDefault="00F463B7" w:rsidP="00F463B7">
      <w:pPr>
        <w:autoSpaceDE w:val="0"/>
        <w:autoSpaceDN w:val="0"/>
        <w:adjustRightInd w:val="0"/>
        <w:jc w:val="both"/>
      </w:pPr>
      <w:r w:rsidRPr="00B83A51">
        <w:t xml:space="preserve">Eesti tööjõust </w:t>
      </w:r>
      <w:r w:rsidR="0017592F">
        <w:t xml:space="preserve">peaaegu </w:t>
      </w:r>
      <w:r w:rsidRPr="00B83A51">
        <w:t>3</w:t>
      </w:r>
      <w:r w:rsidR="002557A7">
        <w:t>0</w:t>
      </w:r>
      <w:r w:rsidRPr="00B83A51">
        <w:t xml:space="preserve">% on kas põhi- või üldkeskharidusega ning ei oma erialast ettevalmistust kutse- ega kõrghariduse tasemel. </w:t>
      </w:r>
      <w:r w:rsidRPr="000A100A">
        <w:t>Samal</w:t>
      </w:r>
      <w:r w:rsidRPr="00B83A51">
        <w:t xml:space="preserve"> ajal nõuavad majandusstruktuuri muutustega kaasnevad uued töökohad töötajatelt kõrgemat haridustaset ning kaasaegseid oskusi. Tööturu vajaduste ja inimeste oskuste paremaks ühitamiseks </w:t>
      </w:r>
      <w:r>
        <w:t>ning</w:t>
      </w:r>
      <w:r w:rsidRPr="00B83A51">
        <w:t xml:space="preserve"> tööjõu tootlikkuse suurendamiseks on vajalik tagada kaasaegsete oskustega töötajate järelkasv. Selleks on eelkõige vajalik </w:t>
      </w:r>
      <w:r w:rsidRPr="00B83A51">
        <w:rPr>
          <w:b/>
        </w:rPr>
        <w:t>suurendada erialase</w:t>
      </w:r>
      <w:r>
        <w:rPr>
          <w:b/>
        </w:rPr>
        <w:t>, so</w:t>
      </w:r>
      <w:r w:rsidRPr="00B83A51">
        <w:rPr>
          <w:b/>
        </w:rPr>
        <w:t xml:space="preserve"> kutse- või kõrghariduse</w:t>
      </w:r>
      <w:r>
        <w:rPr>
          <w:b/>
        </w:rPr>
        <w:t>ga</w:t>
      </w:r>
      <w:r w:rsidRPr="00B83A51">
        <w:rPr>
          <w:b/>
        </w:rPr>
        <w:t xml:space="preserve"> tööealiste inimeste osakaalu tööjõus</w:t>
      </w:r>
      <w:r w:rsidRPr="00B83A51">
        <w:t>.</w:t>
      </w:r>
    </w:p>
    <w:p w:rsidR="002C5ECD" w:rsidRDefault="002C5ECD" w:rsidP="00F463B7">
      <w:pPr>
        <w:autoSpaceDE w:val="0"/>
        <w:autoSpaceDN w:val="0"/>
        <w:adjustRightInd w:val="0"/>
        <w:jc w:val="both"/>
      </w:pPr>
    </w:p>
    <w:p w:rsidR="00B13195" w:rsidRDefault="002C5ECD" w:rsidP="00B13195">
      <w:pPr>
        <w:autoSpaceDE w:val="0"/>
        <w:autoSpaceDN w:val="0"/>
        <w:adjustRightInd w:val="0"/>
        <w:jc w:val="both"/>
      </w:pPr>
      <w:r>
        <w:t xml:space="preserve">Koolitusvajaduse täpsemaks sihistamiseks on vaja </w:t>
      </w:r>
      <w:r w:rsidR="00E02D59">
        <w:t xml:space="preserve">selget ja operatiivset tööturusisendit. </w:t>
      </w:r>
      <w:r w:rsidR="00B13195">
        <w:t xml:space="preserve">Inimeste oskuste ja tööturu tegelike vajaduste paremaks ühildamiseks </w:t>
      </w:r>
      <w:r w:rsidR="002B237A">
        <w:t>käivitati 2015. aastal</w:t>
      </w:r>
      <w:r w:rsidR="00B13195">
        <w:t xml:space="preserve"> tööjõuvajaduse seire ja </w:t>
      </w:r>
      <w:r w:rsidR="0038708B">
        <w:t>prognoosi</w:t>
      </w:r>
      <w:r w:rsidR="00B13195">
        <w:t>süsteem</w:t>
      </w:r>
      <w:r w:rsidR="002B237A">
        <w:t xml:space="preserve"> OSKA</w:t>
      </w:r>
      <w:r w:rsidR="00B13195">
        <w:t xml:space="preserve">. </w:t>
      </w:r>
      <w:r w:rsidR="002B237A">
        <w:t>OSKA võimaldab eraldiseisvad „koolitustellimuse“ komponendid sidustada üheks süsteemselt toimivaks tervikuks ning luua koostööplatvorm tööturu osapoolte süsteemse sisendi koondamiseks, et Eesti inimeste teadmiste ja oskuste kujundamine vastaks paremini tööandjate ja ühiskonna vajadustele.</w:t>
      </w:r>
    </w:p>
    <w:p w:rsidR="00D000A2" w:rsidRDefault="00D000A2" w:rsidP="00B13195">
      <w:pPr>
        <w:autoSpaceDE w:val="0"/>
        <w:autoSpaceDN w:val="0"/>
        <w:adjustRightInd w:val="0"/>
        <w:jc w:val="both"/>
      </w:pPr>
    </w:p>
    <w:p w:rsidR="00B13195" w:rsidRDefault="00B13195" w:rsidP="00B13195">
      <w:pPr>
        <w:autoSpaceDE w:val="0"/>
        <w:autoSpaceDN w:val="0"/>
        <w:adjustRightInd w:val="0"/>
        <w:jc w:val="both"/>
      </w:pPr>
      <w:r>
        <w:t xml:space="preserve">Tööjõuvajaduse seire ja </w:t>
      </w:r>
      <w:r w:rsidR="0038708B">
        <w:t>prognoosi</w:t>
      </w:r>
      <w:r>
        <w:t>süsteemi rakendamine parandab taseme- ja täiendõppe koolituspakkumise struktuuri, mahu ja sisu planeerimist, õppekavaarendust, karjääriplaneerimist ning aitab ettevõtjaid oma töötajate oskuste arendamisel.</w:t>
      </w:r>
    </w:p>
    <w:p w:rsidR="00B13195" w:rsidRDefault="00B13195" w:rsidP="00F463B7">
      <w:pPr>
        <w:autoSpaceDE w:val="0"/>
        <w:autoSpaceDN w:val="0"/>
        <w:adjustRightInd w:val="0"/>
        <w:jc w:val="both"/>
      </w:pPr>
    </w:p>
    <w:p w:rsidR="00F463B7" w:rsidRPr="00B83A51" w:rsidRDefault="00F463B7" w:rsidP="00F463B7">
      <w:pPr>
        <w:autoSpaceDE w:val="0"/>
        <w:autoSpaceDN w:val="0"/>
        <w:adjustRightInd w:val="0"/>
        <w:jc w:val="both"/>
      </w:pPr>
      <w:r w:rsidRPr="00B83A51">
        <w:t xml:space="preserve">Tööturu vajadustele vastavate oskuste ja haridusega inimesed leiavad suurema tõenäosusega rakendust, mis omakorda ennetab kõrge ja püsiva tööpuuduse tekkimist. Seetõttu on oluline, et haridussüsteemi struktuur erinevate haridusliikide osas vastaks majandusstruktuurist tulenevale tööjõu vajadusele. </w:t>
      </w:r>
    </w:p>
    <w:p w:rsidR="00F463B7" w:rsidRPr="00B83A51" w:rsidRDefault="00F463B7" w:rsidP="00F463B7">
      <w:pPr>
        <w:autoSpaceDE w:val="0"/>
        <w:autoSpaceDN w:val="0"/>
        <w:adjustRightInd w:val="0"/>
        <w:jc w:val="both"/>
      </w:pPr>
    </w:p>
    <w:p w:rsidR="00F463B7" w:rsidRPr="00B83A51" w:rsidRDefault="00F463B7" w:rsidP="00F463B7">
      <w:pPr>
        <w:autoSpaceDE w:val="0"/>
        <w:autoSpaceDN w:val="0"/>
        <w:adjustRightInd w:val="0"/>
        <w:jc w:val="both"/>
      </w:pPr>
      <w:r w:rsidRPr="00B83A51">
        <w:lastRenderedPageBreak/>
        <w:t xml:space="preserve">Ilma erialase hariduseta inimeste suure osakaalu peamisteks põhjusteks on noorte puhul üldkeskhariduse eelistamine kutseõppele ning suur </w:t>
      </w:r>
      <w:r>
        <w:t>haridustee k</w:t>
      </w:r>
      <w:r w:rsidR="00F170A4">
        <w:t>atkestanute hulk</w:t>
      </w:r>
      <w:r w:rsidRPr="00B83A51">
        <w:t xml:space="preserve">. </w:t>
      </w:r>
      <w:r w:rsidR="00684DAD">
        <w:t>Viimastel aastatel on suurenenud nende noorte osakaal, kes peale üldkeskhariduse omandamist ei jätka oma haridusteed.</w:t>
      </w:r>
    </w:p>
    <w:p w:rsidR="00F463B7" w:rsidRPr="00B83A51" w:rsidRDefault="00F463B7" w:rsidP="00F463B7">
      <w:pPr>
        <w:autoSpaceDE w:val="0"/>
        <w:autoSpaceDN w:val="0"/>
        <w:adjustRightInd w:val="0"/>
        <w:jc w:val="both"/>
      </w:pPr>
    </w:p>
    <w:p w:rsidR="00BD04FC" w:rsidRDefault="00BD04FC" w:rsidP="00BD04FC">
      <w:pPr>
        <w:jc w:val="both"/>
      </w:pPr>
      <w:r>
        <w:t xml:space="preserve">Inimvara kvaliteeti ja konkurentsivõimet mõjutab koolist väljalangevus kõigil haridusastmeil. Koolist väljalangevus on suureks probleemiks nii kutse- kui ka kõrghariduse esimesel aastal.  Kõrget väljalangevuse taset saab seostada õpilaste vähese töömaailma tundmisega ja õpioskuste puudumisega, mistõttu tehakse õppima asudes valesid erialavalikuid. Seetõttu on oluline suurendada probleemipõhise õppe juurutamist juba madalamates kooliastmetes, tegeleda praktilise õppe arendamisega kõrghariduses ning </w:t>
      </w:r>
      <w:r>
        <w:rPr>
          <w:b/>
        </w:rPr>
        <w:t xml:space="preserve">edasi arendada karjäärinõustamist ja seonduvaid teenuseid, mille eesmärk on tutvustada noortele erinevaid erialasid. Oluline on suurendada tugiteenuste ning karjäärinõustamise kättesaadavust </w:t>
      </w:r>
      <w:r>
        <w:t xml:space="preserve">eesmärgiga paremini toetada õpilaste haridustee- ja erialavalikuid. </w:t>
      </w:r>
    </w:p>
    <w:p w:rsidR="00F463B7" w:rsidRDefault="00F463B7" w:rsidP="00F463B7">
      <w:pPr>
        <w:jc w:val="both"/>
      </w:pPr>
    </w:p>
    <w:p w:rsidR="00B13195" w:rsidRDefault="00B13195" w:rsidP="00F463B7">
      <w:pPr>
        <w:jc w:val="both"/>
      </w:pPr>
      <w:r>
        <w:t>Senisest enam tuleb luua võimalusi ja toetada koostööd erinevate sektorite (riik, ettevõtjad, kõrgkoolid) vahel erialaselt juhitud ja kvaliteetseks praktikakorralduseks õpingute ajal, sh pakkuda praktikavõimalusi ka välisüliõpilastele, et soodustada ja toetada talendipoliitikat ja tippspetsialistide Eestisse tööle jäämist õpingute lõppedes.</w:t>
      </w:r>
      <w:r w:rsidR="00D000A2" w:rsidRPr="00D000A2">
        <w:t xml:space="preserve"> </w:t>
      </w:r>
      <w:r w:rsidR="00D000A2">
        <w:t>Samuti toetatakse täiendavate õppekohtade loomist</w:t>
      </w:r>
      <w:r w:rsidR="00D000A2" w:rsidRPr="00D000A2">
        <w:t xml:space="preserve"> töökohapõhises õppevormis</w:t>
      </w:r>
      <w:r w:rsidR="00085C1B">
        <w:t>.</w:t>
      </w:r>
    </w:p>
    <w:p w:rsidR="00B13195" w:rsidRDefault="00B13195" w:rsidP="00F463B7">
      <w:pPr>
        <w:jc w:val="both"/>
      </w:pPr>
    </w:p>
    <w:p w:rsidR="00DF323A" w:rsidRPr="00B83A51" w:rsidRDefault="00DF323A" w:rsidP="00DF323A">
      <w:pPr>
        <w:jc w:val="both"/>
      </w:pPr>
    </w:p>
    <w:p w:rsidR="00DF323A" w:rsidRPr="00B83A51" w:rsidRDefault="00DF323A" w:rsidP="00DF323A">
      <w:pPr>
        <w:shd w:val="clear" w:color="auto" w:fill="CCCCCC"/>
        <w:rPr>
          <w:b/>
        </w:rPr>
      </w:pPr>
      <w:r w:rsidRPr="00B83A51">
        <w:rPr>
          <w:b/>
        </w:rPr>
        <w:t>3. Kõrghariduse rahvusvahelise konkurentsivõime suurendamine.</w:t>
      </w:r>
    </w:p>
    <w:p w:rsidR="00DF323A" w:rsidRPr="00B83A51" w:rsidRDefault="00DF323A" w:rsidP="00DF323A">
      <w:pPr>
        <w:rPr>
          <w:b/>
        </w:rPr>
      </w:pPr>
    </w:p>
    <w:p w:rsidR="00B358C6" w:rsidRPr="00B83A51" w:rsidRDefault="00B358C6" w:rsidP="00B358C6">
      <w:pPr>
        <w:jc w:val="both"/>
      </w:pPr>
      <w:r w:rsidRPr="00B83A51">
        <w:t xml:space="preserve">Eesti kõrgkoolid konkureerivad globaalsel kõrgharidusturul ning konkurents talentide pärast on tihe. Koos majandusliku heaolu kasvuga õpib järjest rohkem Eesti noori välisülikoolides, </w:t>
      </w:r>
      <w:r>
        <w:t>eelistatakse peamiselt</w:t>
      </w:r>
      <w:r w:rsidRPr="00B83A51">
        <w:t xml:space="preserve"> Soome, Saksamaa ja Suurbritannia kõrgkool</w:t>
      </w:r>
      <w:r>
        <w:t>e</w:t>
      </w:r>
      <w:r w:rsidRPr="00B83A51">
        <w:t xml:space="preserve">. </w:t>
      </w:r>
      <w:r w:rsidRPr="00BB3820">
        <w:t xml:space="preserve">Mitmekülgsema hariduse </w:t>
      </w:r>
      <w:r w:rsidRPr="004812F4">
        <w:t>saamisel</w:t>
      </w:r>
      <w:r w:rsidRPr="00BB3820">
        <w:t xml:space="preserve"> on üliõpilaste mobiilsuse soodustamine olulise tähtsusega. Samas tuleb </w:t>
      </w:r>
      <w:r w:rsidRPr="00BB3820">
        <w:rPr>
          <w:b/>
        </w:rPr>
        <w:t>tagada konkurentsivõimelise kõrghariduse pakkumine</w:t>
      </w:r>
      <w:r w:rsidRPr="004812F4">
        <w:t xml:space="preserve"> </w:t>
      </w:r>
      <w:r>
        <w:t>eelkõige</w:t>
      </w:r>
      <w:r w:rsidRPr="004812F4">
        <w:t xml:space="preserve"> Eestis</w:t>
      </w:r>
      <w:r w:rsidRPr="00BB3820">
        <w:t xml:space="preserve">. Tänastest </w:t>
      </w:r>
      <w:r w:rsidRPr="000538D0">
        <w:t>üliõpilastest veedab 3,</w:t>
      </w:r>
      <w:r>
        <w:t>3</w:t>
      </w:r>
      <w:r w:rsidRPr="000538D0">
        <w:t>%</w:t>
      </w:r>
      <w:r>
        <w:t xml:space="preserve"> (2014. a andmed)</w:t>
      </w:r>
      <w:r w:rsidRPr="000538D0">
        <w:t xml:space="preserve"> </w:t>
      </w:r>
      <w:r w:rsidRPr="00BB3820">
        <w:t>osa</w:t>
      </w:r>
      <w:r w:rsidRPr="000538D0">
        <w:t xml:space="preserve"> õppeaastas</w:t>
      </w:r>
      <w:r>
        <w:t>t</w:t>
      </w:r>
      <w:r w:rsidRPr="00BB3820">
        <w:t xml:space="preserve"> mõnes välis</w:t>
      </w:r>
      <w:r>
        <w:t>kõrgkoolis, kuid välismaal täisajaga õpib OECD andmetel 4441 tudengit aastas (2013. a. andmed)</w:t>
      </w:r>
      <w:r w:rsidRPr="003F508A">
        <w:t xml:space="preserve">. </w:t>
      </w:r>
      <w:r w:rsidRPr="003F508A">
        <w:rPr>
          <w:bCs/>
        </w:rPr>
        <w:t>Euroopa Kõrgharidusruumis</w:t>
      </w:r>
      <w:r w:rsidRPr="003F508A" w:rsidDel="00DD3D6A">
        <w:t xml:space="preserve"> </w:t>
      </w:r>
      <w:r w:rsidRPr="003F508A">
        <w:t>on eesmärgiks seatud, et 20% lõpetajatest oleksid aastaks 2020</w:t>
      </w:r>
      <w:r w:rsidRPr="004812F4">
        <w:t xml:space="preserve"> </w:t>
      </w:r>
      <w:r w:rsidRPr="00BB3820">
        <w:t>mobiilsuskogemusega</w:t>
      </w:r>
      <w:r>
        <w:t xml:space="preserve"> - selle tasemeni on Eestis veel väga pikk tee.</w:t>
      </w:r>
      <w:r w:rsidRPr="00B83A51">
        <w:t xml:space="preserve"> </w:t>
      </w:r>
    </w:p>
    <w:p w:rsidR="00B358C6" w:rsidRPr="00B83A51" w:rsidRDefault="00B358C6" w:rsidP="00B358C6">
      <w:pPr>
        <w:jc w:val="both"/>
      </w:pPr>
    </w:p>
    <w:p w:rsidR="00B358C6" w:rsidRPr="00B83A51" w:rsidRDefault="00B358C6" w:rsidP="00B358C6">
      <w:pPr>
        <w:pStyle w:val="Default"/>
        <w:jc w:val="both"/>
        <w:rPr>
          <w:lang w:val="et-EE"/>
        </w:rPr>
      </w:pPr>
      <w:r w:rsidRPr="00BB3820">
        <w:rPr>
          <w:lang w:val="et-EE"/>
        </w:rPr>
        <w:t>Prognooside kohaselt väheneb lähiaastat</w:t>
      </w:r>
      <w:r>
        <w:rPr>
          <w:lang w:val="et-EE"/>
        </w:rPr>
        <w:t>el kõrghariduse esimesel astmel</w:t>
      </w:r>
      <w:r w:rsidRPr="00BB3820">
        <w:rPr>
          <w:lang w:val="et-EE"/>
        </w:rPr>
        <w:t xml:space="preserve"> õppijate arv ligikaudu 5% aastas.</w:t>
      </w:r>
      <w:r w:rsidRPr="00B83A51">
        <w:rPr>
          <w:lang w:val="et-EE"/>
        </w:rPr>
        <w:t xml:space="preserve"> Seoses demograafilise olukorra muutumisega on võimalik suurendada vastuvõttu magistri- ja doktoriõppes</w:t>
      </w:r>
      <w:r>
        <w:rPr>
          <w:lang w:val="et-EE"/>
        </w:rPr>
        <w:t>se</w:t>
      </w:r>
      <w:r w:rsidRPr="00B83A51">
        <w:rPr>
          <w:lang w:val="et-EE"/>
        </w:rPr>
        <w:t>, arvestades seejuures kvaliteeti ning Eesti jaoks olulistes kõrgharidus- ja teadusvaldkondades kriitilise massi säilitamise vajadust ning ratsionaalset tööjaotust kõrgkoolide vahel.</w:t>
      </w:r>
    </w:p>
    <w:p w:rsidR="00B358C6" w:rsidRPr="00B83A51" w:rsidRDefault="00B358C6" w:rsidP="00B358C6">
      <w:pPr>
        <w:pStyle w:val="Default"/>
        <w:jc w:val="both"/>
        <w:rPr>
          <w:lang w:val="et-EE"/>
        </w:rPr>
      </w:pPr>
    </w:p>
    <w:p w:rsidR="00B358C6" w:rsidRDefault="00B358C6" w:rsidP="00B358C6">
      <w:pPr>
        <w:jc w:val="both"/>
      </w:pPr>
      <w:r w:rsidRPr="00B83A51">
        <w:t>Kõrghariduse rahvusvahelistumise toetamisel on k</w:t>
      </w:r>
      <w:r>
        <w:t>olm</w:t>
      </w:r>
      <w:r w:rsidRPr="00B83A51">
        <w:t xml:space="preserve"> peamist eesmärki. </w:t>
      </w:r>
      <w:r>
        <w:t>Esiteks</w:t>
      </w:r>
      <w:r w:rsidRPr="00B83A51">
        <w:t xml:space="preserve"> loob see võimaluse Eesti kõrgkoolide tudengitele silmaringi avardamiseks, teises kultuurikeskkonnas elu- või professionaalse kogemuse omandamiseks ning kontaktide loomiseks, mis on kõik olulised komponendid hilisemas tööelus üha enam rahvusvahelis</w:t>
      </w:r>
      <w:r>
        <w:t xml:space="preserve">eks muutuvas </w:t>
      </w:r>
      <w:r w:rsidRPr="00B83A51">
        <w:t xml:space="preserve">maailmas. </w:t>
      </w:r>
    </w:p>
    <w:p w:rsidR="00314F55" w:rsidRDefault="00314F55" w:rsidP="00B358C6">
      <w:pPr>
        <w:jc w:val="both"/>
      </w:pPr>
    </w:p>
    <w:p w:rsidR="00B358C6" w:rsidRDefault="00B358C6" w:rsidP="00B358C6">
      <w:pPr>
        <w:jc w:val="both"/>
      </w:pPr>
      <w:r w:rsidRPr="00B83A51">
        <w:t>Teis</w:t>
      </w:r>
      <w:r>
        <w:t>eks</w:t>
      </w:r>
      <w:r w:rsidRPr="00B83A51">
        <w:t xml:space="preserve"> on oluline ka „rahvusvahelistumine kodus“ </w:t>
      </w:r>
      <w:r w:rsidRPr="003F508A">
        <w:t>–</w:t>
      </w:r>
      <w:r w:rsidRPr="00B83A51">
        <w:t xml:space="preserve"> </w:t>
      </w:r>
      <w:r w:rsidRPr="00B83A51">
        <w:rPr>
          <w:b/>
        </w:rPr>
        <w:t>Eesti majanduse jaoks olulistes</w:t>
      </w:r>
      <w:r>
        <w:rPr>
          <w:b/>
        </w:rPr>
        <w:t>se</w:t>
      </w:r>
      <w:r w:rsidRPr="00B83A51">
        <w:rPr>
          <w:b/>
        </w:rPr>
        <w:t xml:space="preserve"> valdkondades</w:t>
      </w:r>
      <w:r>
        <w:rPr>
          <w:b/>
        </w:rPr>
        <w:t>se</w:t>
      </w:r>
      <w:r w:rsidRPr="00B83A51">
        <w:rPr>
          <w:b/>
        </w:rPr>
        <w:t xml:space="preserve"> talentide juurde</w:t>
      </w:r>
      <w:r>
        <w:rPr>
          <w:b/>
        </w:rPr>
        <w:t xml:space="preserve"> </w:t>
      </w:r>
      <w:r w:rsidRPr="00B83A51">
        <w:rPr>
          <w:b/>
        </w:rPr>
        <w:t>meelitamine</w:t>
      </w:r>
      <w:r w:rsidRPr="00B83A51">
        <w:t xml:space="preserve"> </w:t>
      </w:r>
      <w:r w:rsidRPr="0011788B">
        <w:t>ehk koordineeritud tale</w:t>
      </w:r>
      <w:r w:rsidRPr="002772AD">
        <w:t xml:space="preserve">ndipoliitika, mille </w:t>
      </w:r>
      <w:r w:rsidRPr="0011788B">
        <w:t xml:space="preserve">möödapääsmatuks komponendiks on koostöö erinevate sektorite (riik, ettevõtjad, kõrgkoolid) vahel, välistudengitele praktikavõimaluste laiendamine ning õigusruumi tagamine, mis toetaks peale õpingute lõppu tulevaste tippspetsialistide Eestisse jäämist. </w:t>
      </w:r>
      <w:r>
        <w:t>V</w:t>
      </w:r>
      <w:r w:rsidRPr="00B83A51">
        <w:t xml:space="preserve">älisõppejõudude </w:t>
      </w:r>
      <w:r w:rsidRPr="00B83A51">
        <w:lastRenderedPageBreak/>
        <w:t>aktiivsem tööleasumine Eesti kõrgkoolidesse</w:t>
      </w:r>
      <w:r>
        <w:t xml:space="preserve"> on aga oluline</w:t>
      </w:r>
      <w:r w:rsidRPr="00B83A51">
        <w:t>, et anda võimalus rahvusvahelise keskkonnaga kokku puutuda ka neil</w:t>
      </w:r>
      <w:r>
        <w:t>e</w:t>
      </w:r>
      <w:r w:rsidRPr="00B83A51">
        <w:t xml:space="preserve"> meie üliõpilastel</w:t>
      </w:r>
      <w:r>
        <w:t>e</w:t>
      </w:r>
      <w:r w:rsidRPr="00B83A51">
        <w:t>, kel</w:t>
      </w:r>
      <w:r>
        <w:t>lel</w:t>
      </w:r>
      <w:r w:rsidRPr="00B83A51">
        <w:t xml:space="preserve"> pole võimalik väliskõrgkoolis viibida. </w:t>
      </w:r>
      <w:r w:rsidRPr="00C44A8D">
        <w:t xml:space="preserve">Välisõppejõudude paremaks </w:t>
      </w:r>
      <w:r>
        <w:t>lõimi</w:t>
      </w:r>
      <w:r w:rsidRPr="00C44A8D">
        <w:t>miseks töö-</w:t>
      </w:r>
      <w:r>
        <w:t xml:space="preserve"> </w:t>
      </w:r>
      <w:r w:rsidRPr="00C44A8D">
        <w:t>ja õppekeskkon</w:t>
      </w:r>
      <w:r>
        <w:t>d</w:t>
      </w:r>
      <w:r w:rsidRPr="00C44A8D">
        <w:t>a tuleb neile luua võimalused teadustööks</w:t>
      </w:r>
      <w:r w:rsidRPr="006167F5">
        <w:t xml:space="preserve">, </w:t>
      </w:r>
      <w:r>
        <w:t xml:space="preserve">samuti on oluline tagada </w:t>
      </w:r>
      <w:r w:rsidRPr="002150A0">
        <w:t xml:space="preserve">vajalikud teenused </w:t>
      </w:r>
      <w:r>
        <w:t>nende</w:t>
      </w:r>
      <w:r w:rsidRPr="006167F5">
        <w:t xml:space="preserve"> </w:t>
      </w:r>
      <w:r>
        <w:t>peredele.</w:t>
      </w:r>
      <w:r w:rsidRPr="00C44A8D">
        <w:t xml:space="preserve"> </w:t>
      </w:r>
      <w:r w:rsidRPr="00B83A51">
        <w:t xml:space="preserve">Eesti ühiskonnale on välisüliõpilased tähtsad, </w:t>
      </w:r>
      <w:r>
        <w:t xml:space="preserve">nii need </w:t>
      </w:r>
      <w:r w:rsidRPr="00B83A51">
        <w:t>kes siit peale õpinguid lahkuvad</w:t>
      </w:r>
      <w:r>
        <w:t xml:space="preserve">, kui ka need, kes siia </w:t>
      </w:r>
      <w:r w:rsidR="008214F6">
        <w:t xml:space="preserve">edasi õppima või tööle jäävad. </w:t>
      </w:r>
      <w:r>
        <w:t>Lahkujatest</w:t>
      </w:r>
      <w:r w:rsidRPr="00B83A51">
        <w:t xml:space="preserve"> võivad saada Eesti riigi, kultuuri ja majanduse „saadikud“ oma kodumaal, kes aitavad oma kontaktide kaudu kaasa meie arengutele.</w:t>
      </w:r>
      <w:r>
        <w:t xml:space="preserve"> Kolmandaks peame arvestama, et kõrghariduse ja teaduse konkurents ning kvaliteet on rahvusvahelised. Rahvusvaheline võrdlus on aluseks kvaliteedistandardile ja rahvusvaheline liikuvus loob võimalused paremate töötajate värbamiseks.</w:t>
      </w:r>
    </w:p>
    <w:p w:rsidR="00B358C6" w:rsidRPr="00B83A51" w:rsidRDefault="00B358C6" w:rsidP="00B358C6">
      <w:pPr>
        <w:jc w:val="both"/>
      </w:pPr>
    </w:p>
    <w:p w:rsidR="00B358C6" w:rsidRPr="00B83A51" w:rsidRDefault="00B358C6" w:rsidP="00B358C6">
      <w:pPr>
        <w:jc w:val="both"/>
      </w:pPr>
      <w:r w:rsidRPr="00B83A51">
        <w:t xml:space="preserve">Kõrghariduse rahvusvahelistumine hõlmab nii Eesti tudengitele ja õppejõududele suunatud mobiilsusprogramme kui meetmeid välisüliõpilaste ja välisõppejõudude Eestisse tuleku soodustamiseks. Tänu erimeetmetele on viimastel aastatel suurenenud välistudengite vastuvõtud Eesti ülikoolides. </w:t>
      </w:r>
      <w:r>
        <w:t>A</w:t>
      </w:r>
      <w:r w:rsidRPr="00B83A51">
        <w:t>astaks 2015 seatud eesmärk</w:t>
      </w:r>
      <w:r>
        <w:t xml:space="preserve"> – võtta vastu</w:t>
      </w:r>
      <w:r w:rsidRPr="00B83A51">
        <w:t xml:space="preserve"> 2000 välistudengi</w:t>
      </w:r>
      <w:r>
        <w:t>t -</w:t>
      </w:r>
      <w:r w:rsidRPr="00B83A51">
        <w:t xml:space="preserve"> </w:t>
      </w:r>
      <w:r>
        <w:t>on</w:t>
      </w:r>
      <w:r w:rsidRPr="00B83A51">
        <w:t xml:space="preserve"> saavutat</w:t>
      </w:r>
      <w:r>
        <w:t>ud</w:t>
      </w:r>
      <w:r w:rsidRPr="00B83A51">
        <w:t xml:space="preserve">. </w:t>
      </w:r>
      <w:r>
        <w:t>2015/2016. õppeaastal õppis Eesti kõrgkoolides 3476 välisüliõpilast, mis moodustas üle 6,8% Eesti üliõpilaskonnast. R</w:t>
      </w:r>
      <w:r w:rsidRPr="00CE60D2">
        <w:t>ahvusvahelistumise suunaliste tegevuste toetamis</w:t>
      </w:r>
      <w:r>
        <w:t>t tuleb jätkata, et kasvatada kõrgkoolide</w:t>
      </w:r>
      <w:r w:rsidRPr="00CE60D2">
        <w:t xml:space="preserve"> rahvusvahelistumise võimekus</w:t>
      </w:r>
      <w:r>
        <w:t>t ja</w:t>
      </w:r>
      <w:r w:rsidRPr="00CE60D2">
        <w:t xml:space="preserve"> </w:t>
      </w:r>
      <w:r>
        <w:t>seeläbi kaasata üha kõrgema tasemega välisüliõpilasi. Va</w:t>
      </w:r>
      <w:r w:rsidRPr="00B83A51">
        <w:t xml:space="preserve">jalik </w:t>
      </w:r>
      <w:r>
        <w:t xml:space="preserve">on </w:t>
      </w:r>
      <w:r w:rsidRPr="00B83A51">
        <w:t xml:space="preserve">selles suunas tegevusi edasi arendada ning </w:t>
      </w:r>
      <w:r w:rsidRPr="00B83A51">
        <w:rPr>
          <w:b/>
        </w:rPr>
        <w:t>muuta Eesti kõrgharidus välistudengitele atraktiivsemaks</w:t>
      </w:r>
      <w:r w:rsidRPr="00B83A51">
        <w:t xml:space="preserve">. </w:t>
      </w:r>
      <w:r>
        <w:t>O</w:t>
      </w:r>
      <w:r w:rsidRPr="00B83A51">
        <w:t>luline</w:t>
      </w:r>
      <w:r>
        <w:t xml:space="preserve"> on</w:t>
      </w:r>
      <w:r w:rsidRPr="00B83A51">
        <w:t xml:space="preserve"> lisaks hariduse omandamisele </w:t>
      </w:r>
      <w:r w:rsidRPr="00B83A51">
        <w:rPr>
          <w:b/>
        </w:rPr>
        <w:t>luua välisüliõpilastele võimalused peale kooli lõpetamist valitud erialadel Eestisse tööle jääda</w:t>
      </w:r>
      <w:r w:rsidRPr="00B83A51">
        <w:t xml:space="preserve">.  </w:t>
      </w:r>
    </w:p>
    <w:p w:rsidR="00B358C6" w:rsidRPr="00B83A51" w:rsidRDefault="00B358C6" w:rsidP="00B358C6">
      <w:pPr>
        <w:jc w:val="both"/>
      </w:pPr>
    </w:p>
    <w:p w:rsidR="00B358C6" w:rsidRPr="00B83A51" w:rsidRDefault="00B358C6" w:rsidP="00B358C6">
      <w:pPr>
        <w:jc w:val="both"/>
      </w:pPr>
      <w:r w:rsidRPr="00B83A51">
        <w:t xml:space="preserve">Välistudengite ja teadlaste senisest aktiivsemat Eestisse asumist </w:t>
      </w:r>
      <w:r>
        <w:t xml:space="preserve">on paljuski </w:t>
      </w:r>
      <w:r w:rsidRPr="00B83A51">
        <w:t>takista</w:t>
      </w:r>
      <w:r>
        <w:t>nud</w:t>
      </w:r>
      <w:r w:rsidRPr="00B83A51">
        <w:t xml:space="preserve"> viisade ja elamis- ning töölubade menetlemise protsess</w:t>
      </w:r>
      <w:r>
        <w:t xml:space="preserve">, ja mh ka nt </w:t>
      </w:r>
      <w:r w:rsidRPr="00B83A51">
        <w:t>pereliikmete kaasatoomi</w:t>
      </w:r>
      <w:r>
        <w:t xml:space="preserve">se </w:t>
      </w:r>
      <w:r w:rsidRPr="00B83A51">
        <w:t>piiratu</w:t>
      </w:r>
      <w:r>
        <w:t>s erinevate rändegruppide lõikes. 2013. a vastuvõetud välismaalaste seaduse muudatused on parandanud üliõpilaste riiki sisenemise ja õpingute kõrvalt töötamise võimalusi, samas on jätkuvalt takistusi, mis piiravad üliõpilaste õpingutejärgset Eestisse töölejäämist. Oluline on tingimusi paranda ka välisõppejõudude ja –teadlaste koos perekonnaga</w:t>
      </w:r>
      <w:r w:rsidRPr="00B83A51">
        <w:t xml:space="preserve"> </w:t>
      </w:r>
      <w:r>
        <w:t>riiki sisenemisel. Need protsessid haakuvad kaasnevate teenustega, mis aitavad inimestel Eestis kohaneda, vastavad ootustele, mis on seotud nende pereliikmete siia elama asumisega ning aitavad muul moel kaasa võimalustele ennast Eestis teostada.</w:t>
      </w:r>
    </w:p>
    <w:p w:rsidR="00B358C6" w:rsidRDefault="00B358C6" w:rsidP="00F34F09">
      <w:pPr>
        <w:jc w:val="both"/>
      </w:pPr>
    </w:p>
    <w:p w:rsidR="00DF323A" w:rsidRPr="00B83A51" w:rsidRDefault="00DF323A" w:rsidP="00DF323A">
      <w:pPr>
        <w:jc w:val="both"/>
        <w:rPr>
          <w:b/>
        </w:rPr>
      </w:pPr>
      <w:r w:rsidRPr="00B83A51">
        <w:rPr>
          <w:b/>
        </w:rPr>
        <w:t>Tööjõu pakkumine</w:t>
      </w:r>
    </w:p>
    <w:p w:rsidR="00773F5E" w:rsidRPr="00B83A51" w:rsidRDefault="00773F5E" w:rsidP="00DF323A">
      <w:pPr>
        <w:jc w:val="both"/>
      </w:pPr>
    </w:p>
    <w:p w:rsidR="00DF323A" w:rsidRPr="00B83A51" w:rsidRDefault="00DF323A" w:rsidP="00DF323A">
      <w:pPr>
        <w:shd w:val="clear" w:color="auto" w:fill="CCCCCC"/>
        <w:jc w:val="both"/>
        <w:rPr>
          <w:b/>
        </w:rPr>
      </w:pPr>
      <w:r w:rsidRPr="00B83A51">
        <w:rPr>
          <w:b/>
        </w:rPr>
        <w:t>4. Aktiivse tööturupoliitika mõju suurendamine ning rahastamise jätkusuutlikkus.</w:t>
      </w:r>
    </w:p>
    <w:p w:rsidR="00DF323A" w:rsidRPr="00B83A51" w:rsidRDefault="00DF323A" w:rsidP="00DF323A">
      <w:pPr>
        <w:jc w:val="both"/>
      </w:pPr>
    </w:p>
    <w:p w:rsidR="00DF323A" w:rsidRPr="00B83A51" w:rsidRDefault="009B7C10" w:rsidP="00A77EFF">
      <w:pPr>
        <w:autoSpaceDE w:val="0"/>
        <w:autoSpaceDN w:val="0"/>
        <w:adjustRightInd w:val="0"/>
        <w:ind w:left="12" w:hanging="12"/>
        <w:jc w:val="both"/>
      </w:pPr>
      <w:r w:rsidRPr="009B7C10">
        <w:t xml:space="preserve">Ennetamaks töötust ning lühendamaks töötuse kestust, on oluline jätkuvalt tõsta </w:t>
      </w:r>
      <w:r w:rsidR="00DF323A" w:rsidRPr="00B83A51">
        <w:rPr>
          <w:b/>
        </w:rPr>
        <w:t xml:space="preserve">aktiivsete tööturumeetmete </w:t>
      </w:r>
      <w:r>
        <w:rPr>
          <w:b/>
        </w:rPr>
        <w:t xml:space="preserve">pakkumise </w:t>
      </w:r>
      <w:r w:rsidR="00DF323A" w:rsidRPr="00B83A51">
        <w:rPr>
          <w:b/>
        </w:rPr>
        <w:t xml:space="preserve">efektiivsust ja </w:t>
      </w:r>
      <w:r>
        <w:rPr>
          <w:b/>
        </w:rPr>
        <w:t xml:space="preserve">võimaldada nende </w:t>
      </w:r>
      <w:r w:rsidR="00DF323A" w:rsidRPr="00B83A51">
        <w:rPr>
          <w:b/>
        </w:rPr>
        <w:t>mõju suurendam</w:t>
      </w:r>
      <w:r>
        <w:rPr>
          <w:b/>
        </w:rPr>
        <w:t>ist</w:t>
      </w:r>
      <w:r w:rsidR="00DF323A" w:rsidRPr="00B83A51">
        <w:t>. Lähiaastatel on riskiks struktuurse tööpuuduse püsimine pikema perioodi vältel.</w:t>
      </w:r>
      <w:r w:rsidR="0053270C">
        <w:t xml:space="preserve"> Oluline on ellu viia Ida-Virumaa regionaalset tööturu olukorda parandavad meetmed.</w:t>
      </w:r>
      <w:r w:rsidR="00DF323A" w:rsidRPr="00B83A51">
        <w:t xml:space="preserve"> </w:t>
      </w:r>
      <w:r w:rsidR="0053270C">
        <w:t>Samuti</w:t>
      </w:r>
      <w:r w:rsidR="0053270C" w:rsidRPr="00B83A51">
        <w:t xml:space="preserve"> </w:t>
      </w:r>
      <w:r w:rsidR="00DF323A" w:rsidRPr="00B83A51">
        <w:t xml:space="preserve">tuleb järgnevatel aastatel senisest rohkem tähelepanu pöörata </w:t>
      </w:r>
      <w:r w:rsidR="00046720">
        <w:rPr>
          <w:b/>
        </w:rPr>
        <w:t xml:space="preserve">noorte tööpuuduse </w:t>
      </w:r>
      <w:r w:rsidR="00DF323A" w:rsidRPr="00B83A51">
        <w:rPr>
          <w:b/>
        </w:rPr>
        <w:t>ennetamisele ja vähendamisele</w:t>
      </w:r>
      <w:r w:rsidR="00DF323A" w:rsidRPr="00B83A51">
        <w:t xml:space="preserve">. Siinkohal mängib olulist rolli koostöö kohalike omavalitsustega (aktiviseerimismeetmed, sotsiaalprobleemide </w:t>
      </w:r>
      <w:r w:rsidR="00DF323A" w:rsidRPr="00AB065F">
        <w:t>lahendamine jne).</w:t>
      </w:r>
      <w:r w:rsidR="00A871FA" w:rsidRPr="00AB065F">
        <w:t xml:space="preserve"> Toetada tuleb </w:t>
      </w:r>
      <w:r w:rsidR="00E61412" w:rsidRPr="00AB065F">
        <w:t xml:space="preserve">ka </w:t>
      </w:r>
      <w:r w:rsidR="00A871FA" w:rsidRPr="00AB065F">
        <w:rPr>
          <w:b/>
        </w:rPr>
        <w:t>noorte üleminekut haridusest tööturule</w:t>
      </w:r>
      <w:r w:rsidR="00E61412" w:rsidRPr="00AB065F">
        <w:rPr>
          <w:b/>
        </w:rPr>
        <w:t xml:space="preserve">. </w:t>
      </w:r>
      <w:r w:rsidR="00E61412" w:rsidRPr="00AB065F">
        <w:t>Meetmeid tuleb</w:t>
      </w:r>
      <w:r w:rsidR="00A871FA" w:rsidRPr="00AB065F">
        <w:t xml:space="preserve"> rakendada haridusest, tööturult ja koolitusest eemalejäänud noorte (nn NEET-noored - </w:t>
      </w:r>
      <w:proofErr w:type="spellStart"/>
      <w:r w:rsidR="00A871FA" w:rsidRPr="00AB065F">
        <w:rPr>
          <w:i/>
        </w:rPr>
        <w:t>not</w:t>
      </w:r>
      <w:proofErr w:type="spellEnd"/>
      <w:r w:rsidR="00A871FA" w:rsidRPr="00AB065F">
        <w:rPr>
          <w:i/>
        </w:rPr>
        <w:t xml:space="preserve"> </w:t>
      </w:r>
      <w:proofErr w:type="spellStart"/>
      <w:r w:rsidR="00A871FA" w:rsidRPr="00AB065F">
        <w:rPr>
          <w:i/>
        </w:rPr>
        <w:t>in</w:t>
      </w:r>
      <w:proofErr w:type="spellEnd"/>
      <w:r w:rsidR="00A871FA" w:rsidRPr="00AB065F">
        <w:rPr>
          <w:i/>
        </w:rPr>
        <w:t xml:space="preserve"> </w:t>
      </w:r>
      <w:proofErr w:type="spellStart"/>
      <w:r w:rsidR="00A871FA" w:rsidRPr="00AB065F">
        <w:rPr>
          <w:i/>
        </w:rPr>
        <w:t>education</w:t>
      </w:r>
      <w:proofErr w:type="spellEnd"/>
      <w:r w:rsidR="00A871FA" w:rsidRPr="00AB065F">
        <w:rPr>
          <w:i/>
        </w:rPr>
        <w:t xml:space="preserve">, </w:t>
      </w:r>
      <w:proofErr w:type="spellStart"/>
      <w:r w:rsidR="00A871FA" w:rsidRPr="00AB065F">
        <w:rPr>
          <w:i/>
        </w:rPr>
        <w:t>employment</w:t>
      </w:r>
      <w:proofErr w:type="spellEnd"/>
      <w:r w:rsidR="00A871FA" w:rsidRPr="00AB065F">
        <w:rPr>
          <w:i/>
        </w:rPr>
        <w:t xml:space="preserve"> </w:t>
      </w:r>
      <w:proofErr w:type="spellStart"/>
      <w:r w:rsidR="00A871FA" w:rsidRPr="00AB065F">
        <w:rPr>
          <w:i/>
        </w:rPr>
        <w:t>or</w:t>
      </w:r>
      <w:proofErr w:type="spellEnd"/>
      <w:r w:rsidR="00A871FA" w:rsidRPr="00AB065F">
        <w:rPr>
          <w:i/>
        </w:rPr>
        <w:t xml:space="preserve"> </w:t>
      </w:r>
      <w:proofErr w:type="spellStart"/>
      <w:r w:rsidR="00A871FA" w:rsidRPr="00AB065F">
        <w:rPr>
          <w:i/>
        </w:rPr>
        <w:t>training</w:t>
      </w:r>
      <w:proofErr w:type="spellEnd"/>
      <w:r w:rsidR="00A871FA" w:rsidRPr="00AB065F">
        <w:t>) ülesleidmiseks ja aktiivsesse tegevusse tagasitoomiseks.</w:t>
      </w:r>
    </w:p>
    <w:p w:rsidR="008E7007" w:rsidRDefault="008E7007" w:rsidP="00DF323A">
      <w:pPr>
        <w:autoSpaceDE w:val="0"/>
        <w:autoSpaceDN w:val="0"/>
        <w:adjustRightInd w:val="0"/>
        <w:jc w:val="both"/>
        <w:rPr>
          <w:b/>
        </w:rPr>
      </w:pPr>
    </w:p>
    <w:p w:rsidR="00DF323A" w:rsidRPr="00B83A51" w:rsidRDefault="00DF323A" w:rsidP="00DF323A">
      <w:pPr>
        <w:autoSpaceDE w:val="0"/>
        <w:autoSpaceDN w:val="0"/>
        <w:adjustRightInd w:val="0"/>
        <w:jc w:val="both"/>
      </w:pPr>
      <w:r w:rsidRPr="00B83A51">
        <w:rPr>
          <w:b/>
        </w:rPr>
        <w:t>Efektiivsemaks teenuseosutamiseks on oluline tihendada institutsionaalset koostööd</w:t>
      </w:r>
      <w:r w:rsidRPr="00B83A51">
        <w:t xml:space="preserve"> ja määratleda rollijaotus Haridus- ja Teadusministeeriumi, Sotsiaalministeeriumi, Töötukassa ja </w:t>
      </w:r>
      <w:r w:rsidRPr="00B83A51">
        <w:lastRenderedPageBreak/>
        <w:t>kohalike omavalitsuste vahel. Ilma kutse- ja erialase hariduseta töötutele tuleb luua võimalused esmase tasemeõppes saadav</w:t>
      </w:r>
      <w:r w:rsidR="00663E4A">
        <w:t>a kvalifikatsiooni omandamiseks.</w:t>
      </w:r>
      <w:r w:rsidRPr="00B83A51">
        <w:t xml:space="preserve"> </w:t>
      </w:r>
      <w:r w:rsidR="00663E4A">
        <w:t>E</w:t>
      </w:r>
      <w:r w:rsidRPr="00B83A51">
        <w:t xml:space="preserve">smast kvalifikatsiooni omavatele töötutele tuleb aga luua täiendavaid võimalusi kõrgema või täiendava kvalifikatsiooni omandamiseks, mis tunduvalt tõstaks nende edasist konkurentsivõimet tööjõuturul. </w:t>
      </w:r>
      <w:r w:rsidR="008E7007" w:rsidRPr="008E7007">
        <w:t xml:space="preserve">Samuti on oluline </w:t>
      </w:r>
      <w:r w:rsidR="0053270C">
        <w:t>välja töötada meetmed töötuse ennetamiseks ja töötusperioodi lühendamiseks</w:t>
      </w:r>
      <w:r w:rsidR="008E7007" w:rsidRPr="008E7007">
        <w:t>, kuna tagajärgede likvideerimine on oluliselt keerukam ja kulukam</w:t>
      </w:r>
      <w:r w:rsidR="008E7007">
        <w:t>.</w:t>
      </w:r>
      <w:r w:rsidRPr="00B83A51">
        <w:t xml:space="preserve"> </w:t>
      </w:r>
    </w:p>
    <w:p w:rsidR="00DF323A" w:rsidRDefault="00DF323A" w:rsidP="00DF323A">
      <w:pPr>
        <w:autoSpaceDE w:val="0"/>
        <w:autoSpaceDN w:val="0"/>
        <w:adjustRightInd w:val="0"/>
        <w:jc w:val="both"/>
      </w:pPr>
    </w:p>
    <w:p w:rsidR="00DF323A" w:rsidRPr="00B83A51" w:rsidRDefault="00DF323A" w:rsidP="00DF323A">
      <w:pPr>
        <w:pStyle w:val="CommentText"/>
        <w:jc w:val="both"/>
        <w:rPr>
          <w:sz w:val="24"/>
          <w:szCs w:val="24"/>
        </w:rPr>
      </w:pPr>
      <w:r w:rsidRPr="00B83A51">
        <w:rPr>
          <w:b/>
          <w:sz w:val="24"/>
          <w:szCs w:val="24"/>
        </w:rPr>
        <w:t>Vajalik on praktikas tugevdada seost aktiivsete tööturumeetmete pakkumise ja inimestele makstavate hüvitiste/toetuste vahel</w:t>
      </w:r>
      <w:r w:rsidRPr="00B83A51">
        <w:rPr>
          <w:sz w:val="24"/>
          <w:szCs w:val="24"/>
        </w:rPr>
        <w:t xml:space="preserve"> eesmärgiga suurendada inimestes teadmist, et toetuste saamisega kaasneb inimese kohustus ise aktiivselt oma tööotsingute tulemuslikkusesse panustada. Aktiivse tööturupoliitika tulemuslikkuse hindamiseks on vajalik </w:t>
      </w:r>
      <w:r w:rsidR="008F2355">
        <w:rPr>
          <w:sz w:val="24"/>
          <w:szCs w:val="24"/>
        </w:rPr>
        <w:t xml:space="preserve">jätkata </w:t>
      </w:r>
      <w:r w:rsidRPr="00B83A51">
        <w:rPr>
          <w:sz w:val="24"/>
          <w:szCs w:val="24"/>
        </w:rPr>
        <w:t>süsteem</w:t>
      </w:r>
      <w:r w:rsidR="008F2355">
        <w:rPr>
          <w:sz w:val="24"/>
          <w:szCs w:val="24"/>
        </w:rPr>
        <w:t>s</w:t>
      </w:r>
      <w:r w:rsidRPr="00B83A51">
        <w:rPr>
          <w:sz w:val="24"/>
          <w:szCs w:val="24"/>
        </w:rPr>
        <w:t xml:space="preserve">e </w:t>
      </w:r>
      <w:r w:rsidR="001E5733">
        <w:rPr>
          <w:sz w:val="24"/>
          <w:szCs w:val="24"/>
        </w:rPr>
        <w:t>tööturu</w:t>
      </w:r>
      <w:r w:rsidRPr="00B83A51">
        <w:rPr>
          <w:sz w:val="24"/>
          <w:szCs w:val="24"/>
        </w:rPr>
        <w:t>teenuste monito</w:t>
      </w:r>
      <w:r w:rsidR="008F2355">
        <w:rPr>
          <w:sz w:val="24"/>
          <w:szCs w:val="24"/>
        </w:rPr>
        <w:t>oringu ja mõjude hindamisega</w:t>
      </w:r>
      <w:r w:rsidRPr="00B83A51">
        <w:rPr>
          <w:sz w:val="24"/>
          <w:szCs w:val="24"/>
        </w:rPr>
        <w:t>.</w:t>
      </w:r>
    </w:p>
    <w:p w:rsidR="00DF323A" w:rsidRPr="00B83A51" w:rsidRDefault="00DF323A" w:rsidP="00DF323A"/>
    <w:p w:rsidR="000C164F" w:rsidRDefault="00DF323A" w:rsidP="00A77EFF">
      <w:pPr>
        <w:jc w:val="both"/>
      </w:pPr>
      <w:r w:rsidRPr="00B83A51">
        <w:t xml:space="preserve">Seoses järjest vananeva tööjõuga on </w:t>
      </w:r>
      <w:r w:rsidRPr="008E7007">
        <w:t>tulevikus</w:t>
      </w:r>
      <w:r w:rsidR="008E7007">
        <w:t xml:space="preserve"> senisest enam</w:t>
      </w:r>
      <w:r w:rsidRPr="00B83A51">
        <w:rPr>
          <w:b/>
        </w:rPr>
        <w:t xml:space="preserve"> vaja</w:t>
      </w:r>
      <w:r w:rsidR="008E7007">
        <w:rPr>
          <w:b/>
        </w:rPr>
        <w:t xml:space="preserve"> pakkuda</w:t>
      </w:r>
      <w:r w:rsidRPr="00B83A51">
        <w:rPr>
          <w:b/>
        </w:rPr>
        <w:t xml:space="preserve"> meetme</w:t>
      </w:r>
      <w:r w:rsidR="008E7007">
        <w:rPr>
          <w:b/>
        </w:rPr>
        <w:t>i</w:t>
      </w:r>
      <w:r w:rsidRPr="00B83A51">
        <w:rPr>
          <w:b/>
        </w:rPr>
        <w:t>d vanemaealiste inimeste tööturule tagasi aitamiseks</w:t>
      </w:r>
      <w:r w:rsidRPr="00B83A51">
        <w:t xml:space="preserve"> ja tööturul püsimise toetamiseks.</w:t>
      </w:r>
      <w:r w:rsidR="00991B32">
        <w:t xml:space="preserve"> </w:t>
      </w:r>
      <w:r w:rsidR="00A246BD">
        <w:t>Väljatöötamisel on uued töötust ennetavad meetmed, mis muuhulgas puudutaksid vanusegruppi 55+.</w:t>
      </w:r>
    </w:p>
    <w:p w:rsidR="00852575" w:rsidRDefault="00852575" w:rsidP="00A77EFF">
      <w:pPr>
        <w:jc w:val="both"/>
      </w:pPr>
    </w:p>
    <w:p w:rsidR="00E22111" w:rsidRPr="001220C2" w:rsidRDefault="00852575" w:rsidP="00A77EFF">
      <w:pPr>
        <w:jc w:val="both"/>
      </w:pPr>
      <w:r w:rsidRPr="00E22111">
        <w:t xml:space="preserve">Oluline on lähiaastatel tegeleda </w:t>
      </w:r>
      <w:r w:rsidRPr="00E22111">
        <w:rPr>
          <w:b/>
        </w:rPr>
        <w:t>soolise palgalõhe vähendamisega</w:t>
      </w:r>
      <w:r w:rsidR="00E22111" w:rsidRPr="00E22111">
        <w:t xml:space="preserve">. Eestis </w:t>
      </w:r>
      <w:r w:rsidRPr="00E22111">
        <w:rPr>
          <w:rFonts w:eastAsia="MS Mincho"/>
        </w:rPr>
        <w:t>kujuneb</w:t>
      </w:r>
      <w:r w:rsidR="00E22111" w:rsidRPr="00E22111">
        <w:rPr>
          <w:rFonts w:eastAsia="MS Mincho"/>
        </w:rPr>
        <w:t xml:space="preserve"> palgalõhe</w:t>
      </w:r>
      <w:r w:rsidRPr="00E22111">
        <w:rPr>
          <w:rFonts w:eastAsia="MS Mincho"/>
        </w:rPr>
        <w:t xml:space="preserve"> paljude tegurite koosmõjus – töö-, pere- ja eraelu ühitamise võimalused, naiste karjäärikatkestused, personalipraktika töökohal, soolise segregatsiooni olemasolu hariduses ja tööturul, haridusvalikud, ühiskonnas eksisteerivad hoiakud, normid ja väärtused.</w:t>
      </w:r>
      <w:r w:rsidR="00E22111">
        <w:rPr>
          <w:rFonts w:eastAsia="MS Mincho"/>
        </w:rPr>
        <w:t xml:space="preserve"> Seega on ka palgalõhe vähendamisel oluline keskenduda kõikidele nimetatud valdkondadele.</w:t>
      </w:r>
      <w:r w:rsidRPr="00E22111">
        <w:rPr>
          <w:rFonts w:eastAsia="MS Mincho"/>
        </w:rPr>
        <w:t xml:space="preserve"> </w:t>
      </w:r>
      <w:r w:rsidR="00E22111" w:rsidRPr="00E22111">
        <w:t xml:space="preserve">Soolise palgalõhe vähendamisele kaasaaitamiseks </w:t>
      </w:r>
      <w:r w:rsidR="00E22111" w:rsidRPr="00E22111">
        <w:rPr>
          <w:b/>
        </w:rPr>
        <w:t>laiendatakse Tööinspektsiooni järelevalvevolitusi</w:t>
      </w:r>
      <w:r w:rsidR="00E22111" w:rsidRPr="00E22111">
        <w:t xml:space="preserve"> sama ja võrdväärse töö eest naistele ja meestele makstava tasu võrdsuse üle. Jätkatakse </w:t>
      </w:r>
      <w:r w:rsidR="00E22111" w:rsidRPr="00AF1604">
        <w:rPr>
          <w:b/>
        </w:rPr>
        <w:t>teavitus- ja analüüsitegevusi</w:t>
      </w:r>
      <w:r w:rsidR="00E22111" w:rsidRPr="00E22111">
        <w:t xml:space="preserve">, mille eesmärk on suurendada ühiskonna ja eri institutsioonide teadlikkust soolisest palgalõhest, selle põhjustest ja mõjudest. </w:t>
      </w:r>
      <w:r w:rsidR="001220C2">
        <w:t>Samuti</w:t>
      </w:r>
      <w:r w:rsidR="00E22111">
        <w:t xml:space="preserve"> soodustatakse </w:t>
      </w:r>
      <w:r w:rsidR="00E22111" w:rsidRPr="00E22111">
        <w:rPr>
          <w:b/>
        </w:rPr>
        <w:t>läbipaistvate ja objektiivsetel kriteeriumidel põhinevate töö hindamise ja palgasüsteemide kasutuselevõttu</w:t>
      </w:r>
      <w:r w:rsidR="00AF1604">
        <w:t xml:space="preserve">, mida piloteeritakse esmalt avalikus sektoris. </w:t>
      </w:r>
      <w:r w:rsidR="00E22111">
        <w:t xml:space="preserve"> </w:t>
      </w:r>
      <w:r w:rsidR="001220C2" w:rsidRPr="001220C2">
        <w:rPr>
          <w:b/>
        </w:rPr>
        <w:t>Haridusvalikute ja tööturu soolise segregatsiooni vähendamiseks</w:t>
      </w:r>
      <w:r w:rsidR="001220C2" w:rsidRPr="001220C2">
        <w:t xml:space="preserve"> planeeritakse eelkõige kooliõpilaste ja karjäärinõustajate teadlikkuse suurendamisele ja hoiakute muutmisele suunatud tegevusi.</w:t>
      </w:r>
    </w:p>
    <w:p w:rsidR="00E22111" w:rsidRPr="001220C2" w:rsidRDefault="00E22111" w:rsidP="00E22111">
      <w:pPr>
        <w:jc w:val="both"/>
        <w:rPr>
          <w:rFonts w:eastAsia="MS Mincho"/>
        </w:rPr>
      </w:pPr>
    </w:p>
    <w:p w:rsidR="00D43B8D" w:rsidRDefault="00D43B8D" w:rsidP="00D43B8D">
      <w:pPr>
        <w:jc w:val="both"/>
        <w:rPr>
          <w:color w:val="000000" w:themeColor="text1"/>
        </w:rPr>
      </w:pPr>
      <w:r w:rsidRPr="00864341">
        <w:t xml:space="preserve">Väikelapse kasvatamise kõrvalt tööturule (taas)sisenemiseks ning töö- ja pereelu ühitamiseks </w:t>
      </w:r>
      <w:r w:rsidRPr="0095133B">
        <w:rPr>
          <w:b/>
          <w:bCs/>
        </w:rPr>
        <w:t>tuleb suurendada kvaliteetse, taskukohase ja paindliku alushariduse ning lapsehoiuteenuse kättesaadavust</w:t>
      </w:r>
      <w:r>
        <w:t xml:space="preserve">. Samuti on tähtis vastavalt piirkondlikele vajadustele </w:t>
      </w:r>
      <w:r w:rsidRPr="003B167D">
        <w:t>las</w:t>
      </w:r>
      <w:r>
        <w:t>teaiakohtade loomise toetamine.</w:t>
      </w:r>
      <w:r w:rsidRPr="003B167D">
        <w:t xml:space="preserve"> </w:t>
      </w:r>
      <w:r w:rsidRPr="00FB0492">
        <w:rPr>
          <w:color w:val="000000" w:themeColor="text1"/>
        </w:rPr>
        <w:t>Puudega laste vanemate hoolduskoormuse vähendamiseks ning tööhõives osalemiseks on vaja lastele pakkuda täiendavaid tugiteenuseid (hoiu-, tugiisiku- ja transporditeenust).</w:t>
      </w:r>
      <w:r>
        <w:rPr>
          <w:color w:val="000000" w:themeColor="text1"/>
        </w:rPr>
        <w:t xml:space="preserve"> </w:t>
      </w:r>
    </w:p>
    <w:p w:rsidR="000C164F" w:rsidRPr="00E22111" w:rsidRDefault="000C164F" w:rsidP="00DF323A">
      <w:pPr>
        <w:jc w:val="both"/>
      </w:pPr>
    </w:p>
    <w:p w:rsidR="00DF323A" w:rsidRDefault="00C7585A" w:rsidP="00DF323A">
      <w:pPr>
        <w:jc w:val="both"/>
      </w:pPr>
      <w:r w:rsidRPr="00C7585A">
        <w:t xml:space="preserve">Eesmärgiks on </w:t>
      </w:r>
      <w:r w:rsidR="0053270C">
        <w:t>ellu viia</w:t>
      </w:r>
      <w:r w:rsidR="0053270C" w:rsidRPr="00C7585A">
        <w:t xml:space="preserve"> </w:t>
      </w:r>
      <w:r w:rsidRPr="00C7585A">
        <w:rPr>
          <w:b/>
        </w:rPr>
        <w:t>töövõimereform</w:t>
      </w:r>
      <w:r w:rsidRPr="00C7585A">
        <w:t xml:space="preserve">, mis tagaks süsteemi jätkusuutlikkuse – sealjuures säilitaks ja parandaks tööealise elanikkonna töövõimet, ennetaks töötust ja töövõime langust ning toetaks </w:t>
      </w:r>
      <w:r w:rsidR="00696449" w:rsidRPr="00696449">
        <w:t xml:space="preserve">töötingimuste parandamist, </w:t>
      </w:r>
      <w:r w:rsidRPr="00C7585A">
        <w:t>inimese tööturule naasmist</w:t>
      </w:r>
      <w:r w:rsidR="00696449">
        <w:t xml:space="preserve"> ja seal püsimist</w:t>
      </w:r>
      <w:r w:rsidRPr="00C7585A">
        <w:t xml:space="preserve">. Reformiga seatakse fookusesse tööealise </w:t>
      </w:r>
      <w:r w:rsidR="00696449" w:rsidRPr="00696449">
        <w:t xml:space="preserve">vähenenud töövõimega </w:t>
      </w:r>
      <w:r w:rsidRPr="00C7585A">
        <w:t xml:space="preserve">inimese töövõime parim kasutamine, sealhulgas keskendutakse </w:t>
      </w:r>
      <w:r w:rsidR="00FB5C6E" w:rsidRPr="00FB5C6E">
        <w:rPr>
          <w:b/>
        </w:rPr>
        <w:t>töövõime</w:t>
      </w:r>
      <w:r w:rsidR="000C164F">
        <w:rPr>
          <w:b/>
        </w:rPr>
        <w:t xml:space="preserve"> langus</w:t>
      </w:r>
      <w:r w:rsidR="00FB5C6E" w:rsidRPr="00FB5C6E">
        <w:rPr>
          <w:b/>
        </w:rPr>
        <w:t>e</w:t>
      </w:r>
      <w:r w:rsidR="00D353AE">
        <w:rPr>
          <w:b/>
        </w:rPr>
        <w:t>ga</w:t>
      </w:r>
      <w:r w:rsidR="00FB5C6E">
        <w:t xml:space="preserve"> ja </w:t>
      </w:r>
      <w:r w:rsidRPr="00C7585A">
        <w:rPr>
          <w:b/>
        </w:rPr>
        <w:t xml:space="preserve">puuetega inimestele suunatud </w:t>
      </w:r>
      <w:r w:rsidR="00FB5C6E" w:rsidRPr="00FB5C6E">
        <w:rPr>
          <w:b/>
        </w:rPr>
        <w:t>töölesaamist ja töötamist toetavate</w:t>
      </w:r>
      <w:r w:rsidR="003C7824">
        <w:rPr>
          <w:b/>
        </w:rPr>
        <w:t>le</w:t>
      </w:r>
      <w:r w:rsidR="00FB5C6E" w:rsidRPr="00FB5C6E">
        <w:rPr>
          <w:b/>
        </w:rPr>
        <w:t xml:space="preserve"> meetmet</w:t>
      </w:r>
      <w:r w:rsidR="00FB5C6E">
        <w:rPr>
          <w:b/>
        </w:rPr>
        <w:t>ele</w:t>
      </w:r>
      <w:r w:rsidRPr="00C7585A">
        <w:t>.</w:t>
      </w:r>
      <w:r>
        <w:t xml:space="preserve"> </w:t>
      </w:r>
    </w:p>
    <w:p w:rsidR="00D73D12" w:rsidRDefault="00D73D12" w:rsidP="00D73D12">
      <w:pPr>
        <w:jc w:val="both"/>
      </w:pPr>
      <w:r w:rsidRPr="00FB0492">
        <w:rPr>
          <w:color w:val="000000" w:themeColor="text1"/>
        </w:rPr>
        <w:t xml:space="preserve">Ülesandeks on võetud muuta praegune ebaefektiivne, keeruline, madala tulemuslikkusega ning sageli dubleeriv taastusravi- ja rehabilitatsiooniteenuste süsteem kliendikesksemaks, pakkuda teenuseid olemasolevate ressurssidega otstarbekamalt ning muuta süsteemi ühtseks </w:t>
      </w:r>
      <w:r w:rsidRPr="00FB0492">
        <w:rPr>
          <w:color w:val="000000" w:themeColor="text1"/>
        </w:rPr>
        <w:lastRenderedPageBreak/>
        <w:t xml:space="preserve">arusaadavaks tervikuks. </w:t>
      </w:r>
      <w:r w:rsidRPr="00FB0492">
        <w:rPr>
          <w:b/>
          <w:color w:val="000000" w:themeColor="text1"/>
        </w:rPr>
        <w:t>Paremini toimiv rehabilitatsioonisüsteem</w:t>
      </w:r>
      <w:r w:rsidRPr="00FB0492">
        <w:rPr>
          <w:color w:val="000000" w:themeColor="text1"/>
        </w:rPr>
        <w:t xml:space="preserve"> võimaldab abivajavatel inimestel suunduda kiiremini tagasi tööturule ja ühiskonda ning paljudel juhtudel väljuda ka rehabilitatsioonisüsteemist.</w:t>
      </w:r>
    </w:p>
    <w:p w:rsidR="00E21E1A" w:rsidRDefault="00E21E1A" w:rsidP="00DF323A">
      <w:pPr>
        <w:jc w:val="both"/>
      </w:pPr>
    </w:p>
    <w:p w:rsidR="00213DCF" w:rsidRDefault="00294EF2" w:rsidP="00DF323A">
      <w:pPr>
        <w:jc w:val="both"/>
      </w:pPr>
      <w:r>
        <w:t>T</w:t>
      </w:r>
      <w:r w:rsidRPr="00864341">
        <w:t xml:space="preserve">ööhõives osalemist takistab oluliselt </w:t>
      </w:r>
      <w:r w:rsidRPr="00294EF2">
        <w:rPr>
          <w:b/>
        </w:rPr>
        <w:t>hoolduskoormus</w:t>
      </w:r>
      <w:r w:rsidRPr="00864341">
        <w:t>, mis võib olla tingitud nii laste kui puudega ja eakate pe</w:t>
      </w:r>
      <w:r>
        <w:t xml:space="preserve">reliikmete eest hoolitsemisest. </w:t>
      </w:r>
      <w:r w:rsidRPr="00864341">
        <w:t>Seetõttu tuleks eritähelepanu pöörata tööjõu pikaajalisest haigusest, töövõimetusest, puudest või hooldamiskohustustest tingitud tööturult eemalejäämise vähendamisele ja iseseisva toimetuleku parandamisele, mh täiendavate sihtotstarbeliste hoolekande- ja tugiteenuste pakkumise abil.</w:t>
      </w:r>
      <w:r>
        <w:t xml:space="preserve"> </w:t>
      </w:r>
      <w:r w:rsidRPr="00864341">
        <w:t xml:space="preserve">Investeeringud </w:t>
      </w:r>
      <w:r w:rsidRPr="00294EF2">
        <w:rPr>
          <w:b/>
        </w:rPr>
        <w:t xml:space="preserve">puuetega inimeste </w:t>
      </w:r>
      <w:r>
        <w:rPr>
          <w:b/>
        </w:rPr>
        <w:t xml:space="preserve">ja eakate </w:t>
      </w:r>
      <w:r w:rsidRPr="00294EF2">
        <w:rPr>
          <w:b/>
        </w:rPr>
        <w:t>elukeskkonda</w:t>
      </w:r>
      <w:r w:rsidR="00B33D75">
        <w:rPr>
          <w:b/>
        </w:rPr>
        <w:t xml:space="preserve"> </w:t>
      </w:r>
      <w:r w:rsidR="00B33D75" w:rsidRPr="00FB0492">
        <w:rPr>
          <w:color w:val="000000" w:themeColor="text1"/>
        </w:rPr>
        <w:t>(sh universaalse disaini alase teadlikkuse tõstmine ja põhimõtete laiem kasutamine)</w:t>
      </w:r>
      <w:r w:rsidRPr="00294EF2">
        <w:rPr>
          <w:b/>
        </w:rPr>
        <w:t xml:space="preserve"> ja tugiteenustesse</w:t>
      </w:r>
      <w:r w:rsidRPr="00864341">
        <w:t xml:space="preserve"> võimaldavad parendada </w:t>
      </w:r>
      <w:r>
        <w:t xml:space="preserve">nii </w:t>
      </w:r>
      <w:r w:rsidRPr="00864341">
        <w:t xml:space="preserve">nende </w:t>
      </w:r>
      <w:r>
        <w:t xml:space="preserve">enda kui </w:t>
      </w:r>
      <w:r w:rsidRPr="00864341">
        <w:t xml:space="preserve">perekonnaliikmete ligipääsu tööturuteenustele ja tööturule. </w:t>
      </w:r>
    </w:p>
    <w:p w:rsidR="00B33D75" w:rsidRDefault="00B33D75" w:rsidP="00DF323A">
      <w:pPr>
        <w:jc w:val="both"/>
      </w:pPr>
    </w:p>
    <w:p w:rsidR="0071270C" w:rsidRDefault="00CB0632" w:rsidP="00DF323A">
      <w:pPr>
        <w:jc w:val="both"/>
      </w:pPr>
      <w:r>
        <w:t xml:space="preserve">Juba </w:t>
      </w:r>
      <w:r w:rsidR="00667F85">
        <w:t>2011. aasta alguses jõustus seadusemuudatus, mille kohaselt on võimalik</w:t>
      </w:r>
      <w:r w:rsidR="00F30E33">
        <w:t xml:space="preserve"> </w:t>
      </w:r>
      <w:r w:rsidR="00667F85">
        <w:t>töötuskindlustusmaksetest laekuvaid vahendeid kasutada</w:t>
      </w:r>
      <w:r w:rsidR="000A10C7">
        <w:t xml:space="preserve"> ka</w:t>
      </w:r>
      <w:r w:rsidR="00667F85">
        <w:t xml:space="preserve"> aktiivsete tööturumeetmete pakkumiseks. See</w:t>
      </w:r>
      <w:r w:rsidR="008E58BD">
        <w:t xml:space="preserve"> </w:t>
      </w:r>
      <w:r w:rsidR="008C78F4">
        <w:t>on taganud pärast</w:t>
      </w:r>
      <w:r w:rsidR="008E58BD">
        <w:t xml:space="preserve"> ESF 2007-2013 vahendite </w:t>
      </w:r>
      <w:r>
        <w:t xml:space="preserve">ammendumist </w:t>
      </w:r>
      <w:r w:rsidR="00A858EE" w:rsidRPr="005D3537">
        <w:rPr>
          <w:b/>
        </w:rPr>
        <w:t>aktiivse tööturupoliitika rahastamise jätkusuutlikkus</w:t>
      </w:r>
      <w:r w:rsidR="000A10C7">
        <w:rPr>
          <w:b/>
        </w:rPr>
        <w:t>e</w:t>
      </w:r>
      <w:r w:rsidR="008C78F4">
        <w:t xml:space="preserve"> ning käesoleval</w:t>
      </w:r>
      <w:r w:rsidR="00D56A0B">
        <w:t xml:space="preserve"> </w:t>
      </w:r>
      <w:r w:rsidR="001F7A94">
        <w:t xml:space="preserve"> perioodil on võimalik ESF vahendeid kasutada tööturuteenuste täiendamiseks ja vajadusel uute väljatöötamiseks ja osutamiseks.</w:t>
      </w:r>
    </w:p>
    <w:p w:rsidR="00773F5E" w:rsidRPr="00B83A51" w:rsidRDefault="00773F5E" w:rsidP="00DF323A">
      <w:pPr>
        <w:rPr>
          <w:b/>
        </w:rPr>
      </w:pPr>
    </w:p>
    <w:p w:rsidR="00DF323A" w:rsidRPr="00B83A51" w:rsidRDefault="00DF323A" w:rsidP="00DF323A">
      <w:pPr>
        <w:shd w:val="clear" w:color="auto" w:fill="CCCCCC"/>
        <w:autoSpaceDE w:val="0"/>
        <w:autoSpaceDN w:val="0"/>
        <w:adjustRightInd w:val="0"/>
        <w:jc w:val="both"/>
        <w:rPr>
          <w:b/>
        </w:rPr>
      </w:pPr>
      <w:r w:rsidRPr="00B83A51">
        <w:rPr>
          <w:b/>
        </w:rPr>
        <w:t>5. Tervena elatud eluaastate suurendamine läbi tervisekäitumise parandamise ja õnnetusjuhtumite edasise vähendamise</w:t>
      </w:r>
      <w:r w:rsidR="002C3A59">
        <w:rPr>
          <w:b/>
        </w:rPr>
        <w:t xml:space="preserve"> ning </w:t>
      </w:r>
      <w:r w:rsidR="002C3A59" w:rsidRPr="002C3A59">
        <w:rPr>
          <w:b/>
        </w:rPr>
        <w:t xml:space="preserve">läbi </w:t>
      </w:r>
      <w:proofErr w:type="spellStart"/>
      <w:r w:rsidR="002C3A59" w:rsidRPr="002C3A59">
        <w:rPr>
          <w:b/>
        </w:rPr>
        <w:t>tervishoiutaristu</w:t>
      </w:r>
      <w:proofErr w:type="spellEnd"/>
      <w:r w:rsidR="002C3A59" w:rsidRPr="002C3A59">
        <w:rPr>
          <w:b/>
        </w:rPr>
        <w:t xml:space="preserve"> arendamise</w:t>
      </w:r>
      <w:r w:rsidRPr="00B83A51">
        <w:rPr>
          <w:b/>
        </w:rPr>
        <w:t>.</w:t>
      </w:r>
    </w:p>
    <w:p w:rsidR="00DF323A" w:rsidRPr="00B83A51" w:rsidRDefault="00DF323A" w:rsidP="00DF323A">
      <w:pPr>
        <w:autoSpaceDE w:val="0"/>
        <w:autoSpaceDN w:val="0"/>
        <w:adjustRightInd w:val="0"/>
        <w:jc w:val="both"/>
        <w:rPr>
          <w:b/>
        </w:rPr>
      </w:pPr>
    </w:p>
    <w:p w:rsidR="008D1D05" w:rsidRPr="00B83A51" w:rsidRDefault="008D1D05" w:rsidP="008D1D05">
      <w:pPr>
        <w:jc w:val="both"/>
      </w:pPr>
      <w:r w:rsidRPr="00B83A51">
        <w:rPr>
          <w:b/>
        </w:rPr>
        <w:t>Tööealise elanikkonna hulgas põhjustavad olulist inimressursi kadu nii inimeste tervisekäitumine kui enneaegne suremus.</w:t>
      </w:r>
      <w:r w:rsidRPr="00B83A51">
        <w:t xml:space="preserve"> Enneaegsete surmade puhul mängib suurt rolli tervist ohustav ja riskeeriv käitumine (nt alkoholi tarvitamine, vigastusohu eiramine, samuti ka vähene füüsiline aktiivsus, suitsetamine, tasakaalustamata toitumine), mis on oluliseks võtmeks eeldatava eluea jätkuvaks pikendamiseks. Peamisteks surmapõhjusteks on Eestis läbi aastate olnud südame-veresoonkonna haigused, kasvajad ning vigastused. </w:t>
      </w:r>
    </w:p>
    <w:p w:rsidR="008D1D05" w:rsidRPr="00B83A51" w:rsidRDefault="008D1D05" w:rsidP="008D1D05">
      <w:pPr>
        <w:jc w:val="both"/>
      </w:pPr>
    </w:p>
    <w:p w:rsidR="008D1D05" w:rsidRDefault="008D1D05" w:rsidP="008D1D05">
      <w:pPr>
        <w:jc w:val="both"/>
      </w:pPr>
      <w:r w:rsidRPr="00B83A51">
        <w:t>Inimeste positiivset tervisekäitumist mõjutab enim erinevate meetmete kompleksne pakkumine,</w:t>
      </w:r>
      <w:r w:rsidR="004A603E">
        <w:t xml:space="preserve"> </w:t>
      </w:r>
      <w:r w:rsidRPr="00B83A51">
        <w:t>mis sisaldab endas nii inimeste teadlikkuse tõstmist,</w:t>
      </w:r>
      <w:r w:rsidR="004A603E">
        <w:t xml:space="preserve"> </w:t>
      </w:r>
      <w:r w:rsidR="004A603E" w:rsidRPr="004A603E">
        <w:t>vajalike teenuste pakkumist,</w:t>
      </w:r>
      <w:r w:rsidRPr="00B83A51">
        <w:t xml:space="preserve"> piiravate ja soosivate regulatsioonide kehtestamist kui ka regulatsioonide täitmise tõhusat kontrollimehhanismi. Selline lähenemine on viimastel aastatel edukalt toiminud näiteks </w:t>
      </w:r>
      <w:r w:rsidR="0040767E">
        <w:t xml:space="preserve">tule- ja </w:t>
      </w:r>
      <w:r w:rsidR="00F8736D">
        <w:t>vee</w:t>
      </w:r>
      <w:r w:rsidR="00F8736D" w:rsidRPr="00B83A51">
        <w:t xml:space="preserve">ohutuse </w:t>
      </w:r>
      <w:r w:rsidRPr="00B83A51">
        <w:t>valdkon</w:t>
      </w:r>
      <w:r w:rsidR="00F8736D">
        <w:t>nas</w:t>
      </w:r>
      <w:r w:rsidRPr="00B83A51">
        <w:t xml:space="preserve">, mis on kaasa toonud </w:t>
      </w:r>
      <w:r w:rsidR="0040767E">
        <w:t xml:space="preserve">tulekahjudes ning </w:t>
      </w:r>
      <w:r w:rsidR="00F8736D">
        <w:t>uppumise tagajärjel</w:t>
      </w:r>
      <w:r w:rsidR="00F8736D" w:rsidRPr="00B83A51">
        <w:t xml:space="preserve"> </w:t>
      </w:r>
      <w:r w:rsidRPr="00B83A51">
        <w:t>hukkunute märkimisväärse vähenemise.</w:t>
      </w:r>
    </w:p>
    <w:p w:rsidR="008D1D05" w:rsidRDefault="008D1D05" w:rsidP="008D1D05">
      <w:pPr>
        <w:jc w:val="both"/>
      </w:pPr>
    </w:p>
    <w:p w:rsidR="008D1D05" w:rsidRPr="006C172B" w:rsidRDefault="008D1D05" w:rsidP="008D1D05">
      <w:pPr>
        <w:jc w:val="both"/>
      </w:pPr>
      <w:r w:rsidRPr="00F20E8C">
        <w:t>Oluline reform oli ka terviseteadlikkuse, liiklusohutuse ja riskikäitumise ennetamise teemade sis</w:t>
      </w:r>
      <w:r w:rsidR="00D6325E">
        <w:t>s</w:t>
      </w:r>
      <w:r w:rsidRPr="00F20E8C">
        <w:t xml:space="preserve">eviimine riiklikesse põhikooli ja gümnaasiumi õppekavadesse 2010. aasta alguses. </w:t>
      </w:r>
      <w:r w:rsidRPr="000027A2">
        <w:rPr>
          <w:b/>
        </w:rPr>
        <w:t xml:space="preserve">Uus </w:t>
      </w:r>
      <w:r w:rsidR="004A62C2" w:rsidRPr="000027A2">
        <w:rPr>
          <w:b/>
        </w:rPr>
        <w:t>inimeseõpetuse ainekava</w:t>
      </w:r>
      <w:r w:rsidR="004A62C2" w:rsidRPr="00F20E8C">
        <w:t xml:space="preserve"> rakendus</w:t>
      </w:r>
      <w:r w:rsidRPr="00F20E8C">
        <w:t xml:space="preserve"> I kooliastmes alates 2011. aasta sügisest, II kooliastmes alates 2012. aasta ja III kooliastmes alates 2013. aasta sügisest. Samuti on gümnaasiumi õppekava läbivaks teemaks tervis ja ohutus.</w:t>
      </w:r>
      <w:r w:rsidR="000027A2">
        <w:t xml:space="preserve"> L</w:t>
      </w:r>
      <w:r w:rsidR="004E3F35">
        <w:t>aste ujumisoskuse tõstmiseks</w:t>
      </w:r>
      <w:r w:rsidR="000027A2">
        <w:t xml:space="preserve"> </w:t>
      </w:r>
      <w:r w:rsidR="004E3F35">
        <w:t>ja uppumissurmade vähendamiseks</w:t>
      </w:r>
      <w:r w:rsidR="000027A2">
        <w:t xml:space="preserve"> </w:t>
      </w:r>
      <w:r w:rsidR="004E3F35">
        <w:t>jätkatakse</w:t>
      </w:r>
      <w:r w:rsidR="000027A2">
        <w:t xml:space="preserve"> 1.-6. klassis läbiviidav</w:t>
      </w:r>
      <w:r w:rsidR="004E3F35">
        <w:t>a</w:t>
      </w:r>
      <w:r w:rsidR="000027A2">
        <w:t xml:space="preserve"> kohustuslik</w:t>
      </w:r>
      <w:r w:rsidR="004E3F35">
        <w:t>u</w:t>
      </w:r>
      <w:r w:rsidR="000027A2">
        <w:t xml:space="preserve"> </w:t>
      </w:r>
      <w:r w:rsidR="000027A2" w:rsidRPr="000027A2">
        <w:rPr>
          <w:b/>
        </w:rPr>
        <w:t>ujumise algõp</w:t>
      </w:r>
      <w:r w:rsidR="00780FA1">
        <w:rPr>
          <w:b/>
        </w:rPr>
        <w:t>p</w:t>
      </w:r>
      <w:r w:rsidR="000027A2" w:rsidRPr="000027A2">
        <w:rPr>
          <w:b/>
        </w:rPr>
        <w:t>e</w:t>
      </w:r>
      <w:r w:rsidR="00780FA1">
        <w:rPr>
          <w:b/>
        </w:rPr>
        <w:t xml:space="preserve"> programm</w:t>
      </w:r>
      <w:r w:rsidR="004E3F35">
        <w:rPr>
          <w:b/>
        </w:rPr>
        <w:t>iga</w:t>
      </w:r>
      <w:r w:rsidR="006C172B">
        <w:rPr>
          <w:b/>
        </w:rPr>
        <w:t xml:space="preserve">. </w:t>
      </w:r>
      <w:r w:rsidR="006C172B" w:rsidRPr="006C172B">
        <w:t xml:space="preserve">Lähiaastatel tuleb </w:t>
      </w:r>
      <w:r w:rsidR="00DE102A">
        <w:t>arendada</w:t>
      </w:r>
      <w:r w:rsidR="00DE102A" w:rsidRPr="006C172B">
        <w:t xml:space="preserve"> </w:t>
      </w:r>
      <w:r w:rsidR="006C172B">
        <w:t xml:space="preserve">ujumise </w:t>
      </w:r>
      <w:r w:rsidR="00B24785">
        <w:t>algõpetuse</w:t>
      </w:r>
      <w:r w:rsidR="00DE102A">
        <w:t xml:space="preserve"> metoodikat ja</w:t>
      </w:r>
      <w:r w:rsidR="006C172B" w:rsidRPr="006C172B">
        <w:t xml:space="preserve"> </w:t>
      </w:r>
      <w:r w:rsidR="00DE102A">
        <w:t>see õppetöös rakendada</w:t>
      </w:r>
      <w:r w:rsidR="006C172B" w:rsidRPr="006C172B">
        <w:t>.</w:t>
      </w:r>
    </w:p>
    <w:p w:rsidR="008D1D05" w:rsidRPr="00F20E8C" w:rsidRDefault="008D1D05" w:rsidP="008D1D05">
      <w:pPr>
        <w:jc w:val="both"/>
      </w:pPr>
    </w:p>
    <w:p w:rsidR="00C8041C" w:rsidRDefault="008D1D05" w:rsidP="008D1D05">
      <w:pPr>
        <w:jc w:val="both"/>
      </w:pPr>
      <w:r w:rsidRPr="00F20E8C">
        <w:t>Lähiaastatel on oluline suunata oma ressursid tööealise</w:t>
      </w:r>
      <w:r w:rsidRPr="00530E46">
        <w:t xml:space="preserve"> elanikkonna tervisekäitumise parandamisesse </w:t>
      </w:r>
      <w:r w:rsidR="00302252">
        <w:t>ning</w:t>
      </w:r>
      <w:r w:rsidRPr="00530E46">
        <w:t xml:space="preserve"> vigastuste ning vigastussurmade ennetamisesse. </w:t>
      </w:r>
      <w:r w:rsidR="00377BEE">
        <w:t xml:space="preserve">Kavas on rakendada </w:t>
      </w:r>
      <w:r w:rsidR="00377BEE" w:rsidRPr="00377BEE">
        <w:rPr>
          <w:b/>
        </w:rPr>
        <w:t>ministeeriumitevahelist vigastussurmade ennetamise poliitikat</w:t>
      </w:r>
      <w:r w:rsidR="00377BEE">
        <w:t xml:space="preserve"> ning jätkata liiklusohutuse tagamiseks </w:t>
      </w:r>
      <w:r w:rsidR="00D541C3" w:rsidRPr="00377BEE">
        <w:rPr>
          <w:b/>
        </w:rPr>
        <w:t>kergliiklusteede arendamist</w:t>
      </w:r>
      <w:r w:rsidR="00D541C3">
        <w:t xml:space="preserve">. </w:t>
      </w:r>
      <w:r w:rsidR="00C8041C">
        <w:t xml:space="preserve">Samuti on plaanis töötada välja </w:t>
      </w:r>
      <w:r w:rsidR="00C8041C" w:rsidRPr="00D4742E">
        <w:rPr>
          <w:b/>
        </w:rPr>
        <w:t xml:space="preserve">toitumise ja </w:t>
      </w:r>
      <w:r w:rsidR="00C8041C" w:rsidRPr="00D4742E">
        <w:rPr>
          <w:b/>
        </w:rPr>
        <w:lastRenderedPageBreak/>
        <w:t>liikumise roheline raamat</w:t>
      </w:r>
      <w:r w:rsidR="00C8041C">
        <w:t>, mille eesmärgiks on edendada tasakaalustatud toitumist ja regulaarset liikumisharrastust kogu elukaare vältel ning pikendada seeläbi tervena elatud eluiga.</w:t>
      </w:r>
    </w:p>
    <w:p w:rsidR="00C8041C" w:rsidRDefault="00C8041C" w:rsidP="008D1D05">
      <w:pPr>
        <w:jc w:val="both"/>
      </w:pPr>
    </w:p>
    <w:p w:rsidR="00D83DFA" w:rsidRDefault="0040767E" w:rsidP="008D1D05">
      <w:pPr>
        <w:jc w:val="both"/>
      </w:pPr>
      <w:r w:rsidRPr="00D83DFA">
        <w:t xml:space="preserve">Eesti kuulub </w:t>
      </w:r>
      <w:r w:rsidR="00695668">
        <w:t xml:space="preserve">ühe </w:t>
      </w:r>
      <w:r w:rsidRPr="00D83DFA">
        <w:t>enim alkoholi tarbivate riikide hulka ning alkoholist tingitud kahjud on seetõttu ulatuslikud</w:t>
      </w:r>
      <w:r w:rsidR="00D83DFA" w:rsidRPr="00D83DFA">
        <w:t>. WHO 2012. aastal avaldatud raporti kohaselt põhjustab alkohol Eestis 12% naiste ja 28% meeste suremusest vanusegrupis 15-64</w:t>
      </w:r>
      <w:r w:rsidR="00D83DFA">
        <w:t xml:space="preserve"> eluaastat</w:t>
      </w:r>
      <w:r w:rsidR="00D83DFA" w:rsidRPr="00D83DFA">
        <w:t xml:space="preserve">. </w:t>
      </w:r>
      <w:r w:rsidR="00D83DFA">
        <w:t>Ennetamaks ning vähendamaks alkoholi tar</w:t>
      </w:r>
      <w:r w:rsidR="00A75278">
        <w:t>bimist</w:t>
      </w:r>
      <w:r w:rsidR="00D83DFA">
        <w:t xml:space="preserve"> ning sellest tingitud kahjusid, on oluline </w:t>
      </w:r>
      <w:r w:rsidR="00DE102A">
        <w:t xml:space="preserve">jätkata </w:t>
      </w:r>
      <w:r w:rsidR="00695668">
        <w:t xml:space="preserve">valitsuse poolt heakskiidetud </w:t>
      </w:r>
      <w:r w:rsidR="00D83DFA" w:rsidRPr="00D83DFA">
        <w:rPr>
          <w:b/>
        </w:rPr>
        <w:t>alkoholipoliitika rohelise raamatu elluviimist</w:t>
      </w:r>
      <w:r w:rsidR="00D83DFA">
        <w:t xml:space="preserve">, st </w:t>
      </w:r>
      <w:r w:rsidR="00695668">
        <w:t>jõustada meetmed alkoholi kättesaadavuse vähendamiseks</w:t>
      </w:r>
      <w:r w:rsidR="00D83DFA" w:rsidRPr="00D83DFA">
        <w:t xml:space="preserve">, alkoholi hinna mõjutamiseks, salaalkoholi leviku tõkestamiseks, alkoholitarvitamisest ja </w:t>
      </w:r>
      <w:r w:rsidR="00695668">
        <w:t>-</w:t>
      </w:r>
      <w:r w:rsidR="00D83DFA" w:rsidRPr="00D83DFA">
        <w:t>joobest tulenevate kahjude vähendamiseks,</w:t>
      </w:r>
      <w:r w:rsidR="00695668">
        <w:t xml:space="preserve"> joobes juhtimise ennetamiseks, teadlikkuse suurendamiseks ning </w:t>
      </w:r>
      <w:r w:rsidR="00D83DFA" w:rsidRPr="00D83DFA">
        <w:t>ravi ja nõustamisteenuste kättesaadavuse parandamiseks</w:t>
      </w:r>
      <w:r w:rsidR="00695668">
        <w:t>.</w:t>
      </w:r>
    </w:p>
    <w:p w:rsidR="00F31143" w:rsidRDefault="00F31143" w:rsidP="008D1D05">
      <w:pPr>
        <w:jc w:val="both"/>
      </w:pPr>
    </w:p>
    <w:p w:rsidR="00695668" w:rsidRDefault="00F31143" w:rsidP="008D1D05">
      <w:pPr>
        <w:jc w:val="both"/>
        <w:rPr>
          <w:bCs/>
        </w:rPr>
      </w:pPr>
      <w:r>
        <w:rPr>
          <w:bCs/>
        </w:rPr>
        <w:t xml:space="preserve">Tervena elatud eluea tõstmiseks on oluline </w:t>
      </w:r>
      <w:r w:rsidRPr="00302252">
        <w:rPr>
          <w:b/>
          <w:bCs/>
        </w:rPr>
        <w:t xml:space="preserve">vähendada </w:t>
      </w:r>
      <w:r w:rsidR="00F97AD5" w:rsidRPr="00302252">
        <w:rPr>
          <w:b/>
          <w:bCs/>
        </w:rPr>
        <w:t xml:space="preserve">ka </w:t>
      </w:r>
      <w:r w:rsidRPr="00302252">
        <w:rPr>
          <w:b/>
          <w:bCs/>
        </w:rPr>
        <w:t>tubaka tarvitamisest tingitud kahjusid</w:t>
      </w:r>
      <w:r w:rsidRPr="00302252">
        <w:rPr>
          <w:bCs/>
        </w:rPr>
        <w:t xml:space="preserve">. </w:t>
      </w:r>
      <w:r w:rsidR="00F97AD5">
        <w:rPr>
          <w:bCs/>
        </w:rPr>
        <w:t xml:space="preserve">2014. a alguses kiitis valitsus heaks tubakapoliitika rohelise raamatu, kus nähakse ette tegevused suitsuvaba keskkonna tagamiseks, tubakatoodete atraktiivsuse vähendamiseks, </w:t>
      </w:r>
      <w:r w:rsidR="00F97AD5" w:rsidRPr="00F97AD5">
        <w:rPr>
          <w:bCs/>
        </w:rPr>
        <w:t>tubakatoodetele alternatiivtoodete turustamise reguleerimiseks</w:t>
      </w:r>
      <w:r w:rsidR="00F97AD5">
        <w:rPr>
          <w:bCs/>
        </w:rPr>
        <w:t xml:space="preserve">, tubakatoodete kättesaadavuse vähendamiseks alaealistele, tubakatarvitamise ennetamiseks, </w:t>
      </w:r>
      <w:r w:rsidR="00F97AD5" w:rsidRPr="00F97AD5">
        <w:rPr>
          <w:bCs/>
        </w:rPr>
        <w:t>tubakasõltuvuse ravi ja tuba</w:t>
      </w:r>
      <w:r w:rsidR="00F97AD5">
        <w:rPr>
          <w:bCs/>
        </w:rPr>
        <w:t>kast loobumise nõustamisteenuste arendamiseks ning tubakatarvitamist vähendava maksupoliitika kujundamiseks.</w:t>
      </w:r>
    </w:p>
    <w:p w:rsidR="00F31143" w:rsidRPr="00530E46" w:rsidRDefault="00F31143" w:rsidP="008D1D05">
      <w:pPr>
        <w:jc w:val="both"/>
      </w:pPr>
    </w:p>
    <w:p w:rsidR="004A603E" w:rsidRDefault="004A603E" w:rsidP="004A603E">
      <w:pPr>
        <w:jc w:val="both"/>
      </w:pPr>
      <w:r w:rsidRPr="002D2FAF">
        <w:t xml:space="preserve">Tööõnnetuste vähendamiseks ning tervist toetava töökeskkonna tagamiseks on vajalik jätkata </w:t>
      </w:r>
      <w:r w:rsidR="002D2FAF" w:rsidRPr="002D2FAF">
        <w:rPr>
          <w:b/>
        </w:rPr>
        <w:t>tööga seotud töövõime languse ennetamisega</w:t>
      </w:r>
      <w:r w:rsidR="002D2FAF" w:rsidRPr="002D2FAF">
        <w:t xml:space="preserve"> ning arendada töövõime kaoga inimeste tööturul osalemist. Valminud on uuring, mis käsitleb töövõimekao hüvitamist ning töövõimekaoga inimeste tööle jäämise ja tööle naasmise toetamist Eestis. </w:t>
      </w:r>
      <w:r w:rsidR="002D2FAF" w:rsidRPr="002D2FAF">
        <w:tab/>
      </w:r>
    </w:p>
    <w:p w:rsidR="004A603E" w:rsidRDefault="004A603E" w:rsidP="008D1D05">
      <w:pPr>
        <w:jc w:val="both"/>
      </w:pPr>
    </w:p>
    <w:p w:rsidR="00725112" w:rsidRDefault="00725112" w:rsidP="00725112">
      <w:pPr>
        <w:jc w:val="both"/>
      </w:pPr>
      <w:r>
        <w:t xml:space="preserve">Kavas on suurendada tõenduspõhiste </w:t>
      </w:r>
      <w:r w:rsidRPr="00191263">
        <w:t xml:space="preserve">tervisekontrollide </w:t>
      </w:r>
      <w:r>
        <w:t xml:space="preserve">ning </w:t>
      </w:r>
      <w:r>
        <w:rPr>
          <w:b/>
        </w:rPr>
        <w:t>sõeluuringute</w:t>
      </w:r>
      <w:r w:rsidRPr="008C07B5">
        <w:rPr>
          <w:b/>
        </w:rPr>
        <w:t xml:space="preserve"> (nt vähi</w:t>
      </w:r>
      <w:r>
        <w:rPr>
          <w:b/>
        </w:rPr>
        <w:t xml:space="preserve"> sõeluuringud</w:t>
      </w:r>
      <w:r w:rsidRPr="008C07B5">
        <w:rPr>
          <w:b/>
        </w:rPr>
        <w:t>)</w:t>
      </w:r>
      <w:r w:rsidRPr="00191263">
        <w:t xml:space="preserve"> läbiviimise </w:t>
      </w:r>
      <w:r>
        <w:t>mahtu ja ulatust, et tagada haiguste</w:t>
      </w:r>
      <w:r w:rsidRPr="00B83A51">
        <w:t xml:space="preserve"> </w:t>
      </w:r>
      <w:r>
        <w:t xml:space="preserve">võimalikult </w:t>
      </w:r>
      <w:r w:rsidRPr="00B83A51">
        <w:t>varaja</w:t>
      </w:r>
      <w:r>
        <w:t xml:space="preserve">ne </w:t>
      </w:r>
      <w:r w:rsidRPr="00B83A51">
        <w:t>avastami</w:t>
      </w:r>
      <w:r>
        <w:t>ne ning ravi alustamine.</w:t>
      </w:r>
    </w:p>
    <w:p w:rsidR="00D87A06" w:rsidRPr="008E7E83" w:rsidRDefault="00D87A06" w:rsidP="00D87A06">
      <w:pPr>
        <w:jc w:val="both"/>
      </w:pPr>
    </w:p>
    <w:p w:rsidR="00725112" w:rsidRDefault="00725112" w:rsidP="00725112">
      <w:pPr>
        <w:jc w:val="both"/>
      </w:pPr>
      <w:r w:rsidRPr="001D3612">
        <w:t xml:space="preserve">Viimasel kümnel aastal on oluliselt investeeritud </w:t>
      </w:r>
      <w:proofErr w:type="spellStart"/>
      <w:r w:rsidRPr="001D3612">
        <w:t>tervishoiutaristu</w:t>
      </w:r>
      <w:proofErr w:type="spellEnd"/>
      <w:r w:rsidRPr="001D3612">
        <w:t xml:space="preserve"> kvaliteedi tõstmisse ja haiglavõrgu optimeerimisse. Vajalik </w:t>
      </w:r>
      <w:r w:rsidRPr="00C06F52">
        <w:rPr>
          <w:b/>
        </w:rPr>
        <w:t xml:space="preserve">on </w:t>
      </w:r>
      <w:proofErr w:type="spellStart"/>
      <w:r w:rsidRPr="00C06F52">
        <w:rPr>
          <w:b/>
        </w:rPr>
        <w:t>tervishoiutaristu</w:t>
      </w:r>
      <w:proofErr w:type="spellEnd"/>
      <w:r w:rsidRPr="00C06F52">
        <w:rPr>
          <w:b/>
        </w:rPr>
        <w:t xml:space="preserve"> arendamise jätkamine</w:t>
      </w:r>
      <w:r w:rsidRPr="001D3612">
        <w:t xml:space="preserve">, mis arvestaks vananeva ja väheneva elanikkonna vajaduste ja võimalustega. Selle eesmärgi täitmiseks on oluline tagada esmatasandi </w:t>
      </w:r>
      <w:r>
        <w:t xml:space="preserve">tervishoiu </w:t>
      </w:r>
      <w:r w:rsidRPr="001D3612">
        <w:t xml:space="preserve">tugevdamine </w:t>
      </w:r>
      <w:r>
        <w:t xml:space="preserve">ning välja arendada patsiendikeskne paikkondlik tervishoiu- ja sotsiaalteenuste integreeritud teenusmudel, mis tagab elanike vajadusi arvestava teenuste kättesaadavuse. Samuti on oluline haiglavõrgu optimaalse arengu edasine toetamine, mis läbi võrgustikupõhise koostöö tagab kõigi piirkondade elanikele vajamineva eriarstiabi kättesaadavuse.  </w:t>
      </w:r>
      <w:r w:rsidRPr="001D3612">
        <w:t xml:space="preserve">Samuti tuleb </w:t>
      </w:r>
      <w:r>
        <w:t xml:space="preserve">arendada </w:t>
      </w:r>
      <w:r w:rsidRPr="001D3612">
        <w:t xml:space="preserve">tervishoiu </w:t>
      </w:r>
      <w:r w:rsidRPr="00C06F52">
        <w:rPr>
          <w:b/>
        </w:rPr>
        <w:t>kvaliteedisüsteemi</w:t>
      </w:r>
      <w:r>
        <w:t xml:space="preserve">, sh välja töötada ja rakendada </w:t>
      </w:r>
      <w:r w:rsidRPr="001D3612">
        <w:t>kvaliteedi mõõdiku</w:t>
      </w:r>
      <w:r>
        <w:t>d.</w:t>
      </w:r>
    </w:p>
    <w:p w:rsidR="00F31143" w:rsidRDefault="00F31143" w:rsidP="00072D6D">
      <w:pPr>
        <w:jc w:val="both"/>
      </w:pPr>
    </w:p>
    <w:p w:rsidR="009B7842" w:rsidRPr="008D5ABD" w:rsidRDefault="00760A85" w:rsidP="00072D6D">
      <w:pPr>
        <w:jc w:val="both"/>
      </w:pPr>
      <w:r>
        <w:t xml:space="preserve">Tervishoiuteenuste kvaliteedi, kättesaadavuse ning efektiivsuse tõstmisel on oluline roll erinevatel e-tervise lahendustel. </w:t>
      </w:r>
      <w:r w:rsidRPr="00760A85">
        <w:t>E-tervise ja personaalmeditsiini</w:t>
      </w:r>
      <w:r>
        <w:t xml:space="preserve"> edasiarendamiseks </w:t>
      </w:r>
      <w:r w:rsidR="00824BAD">
        <w:t xml:space="preserve">on </w:t>
      </w:r>
      <w:r w:rsidR="00EF1A30">
        <w:t>välja töötatud</w:t>
      </w:r>
      <w:r w:rsidR="00793AFA">
        <w:rPr>
          <w:b/>
        </w:rPr>
        <w:t xml:space="preserve"> e-tervise riiklik</w:t>
      </w:r>
      <w:r w:rsidRPr="00760A85">
        <w:rPr>
          <w:b/>
        </w:rPr>
        <w:t xml:space="preserve"> strateegi</w:t>
      </w:r>
      <w:r w:rsidR="00793AFA">
        <w:rPr>
          <w:b/>
        </w:rPr>
        <w:t>a</w:t>
      </w:r>
      <w:r w:rsidR="00EF1A30">
        <w:rPr>
          <w:b/>
        </w:rPr>
        <w:t>.</w:t>
      </w:r>
      <w:r w:rsidRPr="00760A85">
        <w:rPr>
          <w:b/>
        </w:rPr>
        <w:t xml:space="preserve"> </w:t>
      </w:r>
    </w:p>
    <w:p w:rsidR="008D5ABD" w:rsidRPr="008D5ABD" w:rsidRDefault="0074603A" w:rsidP="00EA6927">
      <w:pPr>
        <w:pStyle w:val="ldpealkirjaalapealkiri"/>
        <w:rPr>
          <w:b/>
          <w:bCs/>
        </w:rPr>
      </w:pPr>
      <w:r>
        <w:rPr>
          <w:b/>
          <w:bCs/>
        </w:rPr>
        <w:br w:type="page"/>
      </w:r>
      <w:r w:rsidR="008D5ABD" w:rsidRPr="008D5ABD">
        <w:rPr>
          <w:b/>
          <w:bCs/>
        </w:rPr>
        <w:lastRenderedPageBreak/>
        <w:t>Konkurentsivõimeline ettevõtluskeskkond</w:t>
      </w:r>
    </w:p>
    <w:p w:rsidR="00035DFF" w:rsidRDefault="00220ABA" w:rsidP="00035DFF">
      <w:pPr>
        <w:jc w:val="both"/>
      </w:pPr>
      <w:r>
        <w:t>V</w:t>
      </w:r>
      <w:r w:rsidR="00035DFF">
        <w:t xml:space="preserve">aldkond hõlmab endas mitmeid suuri </w:t>
      </w:r>
      <w:r>
        <w:t>ala</w:t>
      </w:r>
      <w:r w:rsidR="00035DFF">
        <w:t>valdkondi, nagu teadus- ja arendustegevus, innovatsioonipoliitika, ettevõtlus ja ettevõtlikkus ning ettevõtete jaoks soodsa õiguskeskkonna ning avaliku infrastruktuuri (ennekõike transpordiühenduste) arendamine.</w:t>
      </w:r>
    </w:p>
    <w:p w:rsidR="00035DFF" w:rsidRPr="005D68F0" w:rsidRDefault="00035DFF" w:rsidP="00035DFF">
      <w:pPr>
        <w:jc w:val="both"/>
        <w:rPr>
          <w:rFonts w:ascii="Garamond" w:hAnsi="Garamond"/>
          <w:sz w:val="16"/>
          <w:szCs w:val="16"/>
        </w:rPr>
      </w:pPr>
      <w:r w:rsidRPr="0016301B">
        <w:rPr>
          <w:rFonts w:ascii="Garamond" w:hAnsi="Garamond"/>
        </w:rPr>
        <w:t xml:space="preserve"> </w:t>
      </w:r>
    </w:p>
    <w:p w:rsidR="002D0299" w:rsidRPr="0016301B" w:rsidRDefault="002D0299" w:rsidP="00211F2B">
      <w:pPr>
        <w:pStyle w:val="ldpealkirjaalapealkiri"/>
        <w:spacing w:before="120"/>
        <w:jc w:val="both"/>
        <w:rPr>
          <w:rFonts w:ascii="Garamond" w:hAnsi="Garamond"/>
          <w:b/>
          <w:bCs/>
          <w:color w:val="000080"/>
          <w:sz w:val="24"/>
        </w:rPr>
      </w:pPr>
      <w:r w:rsidRPr="0016301B">
        <w:rPr>
          <w:rFonts w:ascii="Garamond" w:hAnsi="Garamond"/>
          <w:b/>
          <w:bCs/>
          <w:color w:val="000080"/>
          <w:sz w:val="24"/>
        </w:rPr>
        <w:t xml:space="preserve">Eesti 2020 </w:t>
      </w:r>
      <w:r w:rsidR="002B7B8C">
        <w:rPr>
          <w:rFonts w:ascii="Garamond" w:hAnsi="Garamond"/>
          <w:b/>
          <w:bCs/>
          <w:color w:val="000080"/>
          <w:sz w:val="24"/>
        </w:rPr>
        <w:t>ees</w:t>
      </w:r>
      <w:r w:rsidRPr="0016301B">
        <w:rPr>
          <w:rFonts w:ascii="Garamond" w:hAnsi="Garamond"/>
          <w:b/>
          <w:bCs/>
          <w:color w:val="000080"/>
          <w:sz w:val="24"/>
        </w:rPr>
        <w:t xml:space="preserve">märgid </w:t>
      </w:r>
    </w:p>
    <w:p w:rsidR="002D0299" w:rsidRDefault="002D0299" w:rsidP="00035DFF">
      <w:pPr>
        <w:rPr>
          <w:b/>
        </w:rPr>
      </w:pPr>
      <w:r>
        <w:rPr>
          <w:b/>
        </w:rPr>
        <w:t>2020. aastaks seatakse järgmised eesmärgid</w:t>
      </w:r>
      <w:r w:rsidRPr="00576F73">
        <w:rPr>
          <w:b/>
        </w:rPr>
        <w:t>:</w:t>
      </w:r>
    </w:p>
    <w:p w:rsidR="006F510A" w:rsidRDefault="006F510A" w:rsidP="006F510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6F510A" w:rsidRPr="003675F2" w:rsidTr="000D29B5">
        <w:trPr>
          <w:trHeight w:val="70"/>
        </w:trPr>
        <w:tc>
          <w:tcPr>
            <w:tcW w:w="9212" w:type="dxa"/>
            <w:gridSpan w:val="3"/>
            <w:shd w:val="clear" w:color="auto" w:fill="CCECFF"/>
            <w:vAlign w:val="center"/>
          </w:tcPr>
          <w:p w:rsidR="006F510A" w:rsidRPr="003675F2" w:rsidRDefault="006F510A" w:rsidP="000D29B5">
            <w:pPr>
              <w:rPr>
                <w:b/>
              </w:rPr>
            </w:pPr>
            <w:r w:rsidRPr="003675F2">
              <w:rPr>
                <w:b/>
              </w:rPr>
              <w:t>Tõsta teadus- ja arendustegevuse investeeringute taset</w:t>
            </w:r>
          </w:p>
        </w:tc>
      </w:tr>
      <w:tr w:rsidR="006F510A" w:rsidRPr="003675F2" w:rsidTr="000D29B5">
        <w:tc>
          <w:tcPr>
            <w:tcW w:w="3070" w:type="dxa"/>
            <w:vAlign w:val="center"/>
          </w:tcPr>
          <w:p w:rsidR="006F510A" w:rsidRPr="003675F2" w:rsidRDefault="006F510A" w:rsidP="000D29B5">
            <w:pPr>
              <w:jc w:val="center"/>
              <w:rPr>
                <w:b/>
              </w:rPr>
            </w:pPr>
            <w:r>
              <w:rPr>
                <w:b/>
              </w:rPr>
              <w:t>Algtase</w:t>
            </w:r>
            <w:r w:rsidRPr="003675F2">
              <w:rPr>
                <w:b/>
              </w:rPr>
              <w:t xml:space="preserve"> 2009</w:t>
            </w:r>
          </w:p>
        </w:tc>
        <w:tc>
          <w:tcPr>
            <w:tcW w:w="3071" w:type="dxa"/>
            <w:vAlign w:val="center"/>
          </w:tcPr>
          <w:p w:rsidR="006F510A" w:rsidRPr="003675F2" w:rsidRDefault="006F510A" w:rsidP="000D29B5">
            <w:pPr>
              <w:jc w:val="center"/>
              <w:rPr>
                <w:b/>
              </w:rPr>
            </w:pPr>
            <w:r w:rsidRPr="003675F2">
              <w:rPr>
                <w:b/>
              </w:rPr>
              <w:t>Eesti eesmärk 2015</w:t>
            </w:r>
          </w:p>
        </w:tc>
        <w:tc>
          <w:tcPr>
            <w:tcW w:w="3071" w:type="dxa"/>
            <w:vAlign w:val="center"/>
          </w:tcPr>
          <w:p w:rsidR="006F510A" w:rsidRPr="003675F2" w:rsidRDefault="006F510A" w:rsidP="000D29B5">
            <w:pPr>
              <w:jc w:val="center"/>
              <w:rPr>
                <w:b/>
              </w:rPr>
            </w:pPr>
            <w:r w:rsidRPr="003675F2">
              <w:rPr>
                <w:b/>
              </w:rPr>
              <w:t>Eesti eesmärk 2020</w:t>
            </w:r>
          </w:p>
        </w:tc>
      </w:tr>
      <w:tr w:rsidR="006F510A" w:rsidRPr="003675F2" w:rsidTr="000D29B5">
        <w:tc>
          <w:tcPr>
            <w:tcW w:w="3070" w:type="dxa"/>
            <w:vAlign w:val="center"/>
          </w:tcPr>
          <w:p w:rsidR="006F510A" w:rsidRPr="003675F2" w:rsidRDefault="006F510A" w:rsidP="000D29B5">
            <w:pPr>
              <w:jc w:val="center"/>
              <w:rPr>
                <w:b/>
              </w:rPr>
            </w:pPr>
            <w:r w:rsidRPr="003675F2">
              <w:rPr>
                <w:b/>
              </w:rPr>
              <w:t>1,42%</w:t>
            </w:r>
          </w:p>
        </w:tc>
        <w:tc>
          <w:tcPr>
            <w:tcW w:w="3071" w:type="dxa"/>
            <w:vAlign w:val="center"/>
          </w:tcPr>
          <w:p w:rsidR="006F510A" w:rsidRPr="003675F2" w:rsidRDefault="006F510A" w:rsidP="000D29B5">
            <w:pPr>
              <w:jc w:val="center"/>
              <w:rPr>
                <w:b/>
              </w:rPr>
            </w:pPr>
            <w:r w:rsidRPr="003675F2">
              <w:rPr>
                <w:b/>
              </w:rPr>
              <w:t>2%</w:t>
            </w:r>
          </w:p>
        </w:tc>
        <w:tc>
          <w:tcPr>
            <w:tcW w:w="3071" w:type="dxa"/>
            <w:vAlign w:val="center"/>
          </w:tcPr>
          <w:p w:rsidR="006F510A" w:rsidRPr="003675F2" w:rsidRDefault="006F510A" w:rsidP="000D29B5">
            <w:pPr>
              <w:jc w:val="center"/>
              <w:rPr>
                <w:b/>
              </w:rPr>
            </w:pPr>
            <w:r w:rsidRPr="003675F2">
              <w:rPr>
                <w:b/>
              </w:rPr>
              <w:t>3%</w:t>
            </w:r>
          </w:p>
        </w:tc>
      </w:tr>
    </w:tbl>
    <w:p w:rsidR="006F510A" w:rsidRPr="005D68F0" w:rsidRDefault="006F510A" w:rsidP="006F510A">
      <w:pPr>
        <w:rPr>
          <w:b/>
          <w:sz w:val="20"/>
          <w:szCs w:val="20"/>
        </w:rPr>
      </w:pPr>
    </w:p>
    <w:p w:rsidR="006F510A" w:rsidRPr="00220ABA" w:rsidRDefault="006F510A" w:rsidP="006F510A">
      <w:pPr>
        <w:jc w:val="both"/>
      </w:pPr>
      <w:r w:rsidRPr="00220ABA">
        <w:t>Lähtudes varasematest arengutest, võetud eesmärkidest ning viimastest majandusprognoosidest tähendaks see 2020. aastal TA kogukulutusi ligikaudu 0,8 miljardit eurot, mis tähendaks TA mahtude pea neljakordistumist 2009. aastaga võrreldes, eeldades et samal ajal oleks SKP nominaalväärtuses varasemast ligikaudu kaks korda suurem.</w:t>
      </w:r>
    </w:p>
    <w:p w:rsidR="006F510A" w:rsidRDefault="006F510A" w:rsidP="006F510A">
      <w:pPr>
        <w:jc w:val="both"/>
      </w:pPr>
    </w:p>
    <w:p w:rsidR="006F510A" w:rsidRDefault="006F510A" w:rsidP="006F510A">
      <w:pPr>
        <w:jc w:val="both"/>
      </w:pPr>
      <w:r w:rsidRPr="00220ABA">
        <w:t xml:space="preserve">Aastatel 2000-2009 oli Eesti keskmine aastane TA </w:t>
      </w:r>
      <w:r>
        <w:t>investeeringute taseme</w:t>
      </w:r>
      <w:r w:rsidRPr="00220ABA">
        <w:t xml:space="preserve"> kasv 10,1%,</w:t>
      </w:r>
      <w:r w:rsidRPr="0012052E">
        <w:t xml:space="preserve"> mis </w:t>
      </w:r>
      <w:r>
        <w:t>oli</w:t>
      </w:r>
      <w:r w:rsidRPr="0012052E">
        <w:t xml:space="preserve"> Euroopa Liidu kõrgeim näitaja. Algselt madala võrdlustaseme tõttu oli kasv eriti kiire just erasektoris, aastas keskmiselt koguni 18,</w:t>
      </w:r>
      <w:r>
        <w:t>4</w:t>
      </w:r>
      <w:r w:rsidRPr="0012052E">
        <w:t>%.</w:t>
      </w:r>
      <w:r>
        <w:t xml:space="preserve"> </w:t>
      </w:r>
      <w:r w:rsidRPr="00A975EB">
        <w:t>Majanduskriisi ajal võttis valitsus eesmärgiks teha avaliku sektori investeeringuid algselt planeeritust ettepoole tuues ja suuremas mahus,</w:t>
      </w:r>
      <w:r w:rsidRPr="0012052E">
        <w:t xml:space="preserve"> et luua head alused erasektori </w:t>
      </w:r>
      <w:r>
        <w:t xml:space="preserve">TA </w:t>
      </w:r>
      <w:r w:rsidRPr="0012052E">
        <w:t>inv</w:t>
      </w:r>
      <w:r>
        <w:t xml:space="preserve">esteeringute kasvuks, mis </w:t>
      </w:r>
      <w:r w:rsidRPr="0012052E">
        <w:t>majanduskasvu taastudes taas</w:t>
      </w:r>
      <w:r>
        <w:t xml:space="preserve"> hoogustuvad. </w:t>
      </w:r>
      <w:r w:rsidRPr="006F16D2">
        <w:t>Järjekindel TA poliitika kandis vilja, sest kriisiaastatel (2009) kahanesid TA kogukulutused oluliselt aeglasemalt kui SKP</w:t>
      </w:r>
      <w:r>
        <w:t>.</w:t>
      </w:r>
      <w:r w:rsidRPr="006F16D2">
        <w:t xml:space="preserve"> </w:t>
      </w:r>
      <w:r>
        <w:t>E</w:t>
      </w:r>
      <w:r w:rsidRPr="006F16D2">
        <w:t>rasektori TA kulutused jäid aga praktiliselt muutumatuks</w:t>
      </w:r>
      <w:r>
        <w:t>,</w:t>
      </w:r>
      <w:r w:rsidRPr="006F16D2">
        <w:t xml:space="preserve"> millele 2010. aastal järgnes juba TA investeeringute 33% kasv.</w:t>
      </w:r>
    </w:p>
    <w:p w:rsidR="006F510A" w:rsidRDefault="006F510A" w:rsidP="006F510A">
      <w:pPr>
        <w:jc w:val="both"/>
      </w:pPr>
    </w:p>
    <w:p w:rsidR="006F510A" w:rsidRDefault="006F510A" w:rsidP="006F510A">
      <w:pPr>
        <w:jc w:val="both"/>
      </w:pPr>
      <w:r>
        <w:t>Majandussurutise järgsetel aastatel TA investeeringud kasvasid jõudsalt ületades 2012</w:t>
      </w:r>
      <w:r w:rsidR="00C81DD0">
        <w:t>.</w:t>
      </w:r>
      <w:r>
        <w:t xml:space="preserve"> aastal 2015. aastaks seatud 2%lise eesmärgi. Kuid viimastel aastatel on TA kulutused hakanud vähenema ennekõike erasektori investeeringute arvelt. </w:t>
      </w:r>
      <w:r w:rsidRPr="00554A16">
        <w:rPr>
          <w:b/>
        </w:rPr>
        <w:t xml:space="preserve"> </w:t>
      </w:r>
      <w:r w:rsidRPr="005D56C8">
        <w:rPr>
          <w:b/>
        </w:rPr>
        <w:t>201</w:t>
      </w:r>
      <w:r>
        <w:rPr>
          <w:b/>
        </w:rPr>
        <w:t>4</w:t>
      </w:r>
      <w:r w:rsidRPr="005D56C8">
        <w:rPr>
          <w:b/>
        </w:rPr>
        <w:t>. aasta</w:t>
      </w:r>
      <w:r>
        <w:t>l</w:t>
      </w:r>
      <w:r w:rsidRPr="005D56C8">
        <w:rPr>
          <w:b/>
        </w:rPr>
        <w:t xml:space="preserve"> ulatusid TA kulutused </w:t>
      </w:r>
      <w:r>
        <w:rPr>
          <w:b/>
        </w:rPr>
        <w:t>1,46</w:t>
      </w:r>
      <w:r w:rsidRPr="005D56C8">
        <w:rPr>
          <w:b/>
        </w:rPr>
        <w:t>%ni SKPst</w:t>
      </w:r>
      <w:r w:rsidRPr="00554A16">
        <w:t>.</w:t>
      </w:r>
      <w:r>
        <w:t xml:space="preserve"> Kusjuures erasektori TA kulud olid ainult 0.64 % SKPst. 2020 aasta eesmärk on suurendada neid 2%ni SKPst. Selleks motivatsioonimehhanismi loomine on oluliselt raskem ülesanne kui avaliku sektori TA kulutuste suurendamine 1%ni SKPst. </w:t>
      </w:r>
    </w:p>
    <w:p w:rsidR="006F510A" w:rsidRDefault="006F510A" w:rsidP="006F510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6F510A" w:rsidRPr="003675F2" w:rsidTr="000D29B5">
        <w:trPr>
          <w:trHeight w:val="70"/>
        </w:trPr>
        <w:tc>
          <w:tcPr>
            <w:tcW w:w="9212" w:type="dxa"/>
            <w:gridSpan w:val="3"/>
            <w:shd w:val="clear" w:color="auto" w:fill="CCECFF"/>
            <w:vAlign w:val="center"/>
          </w:tcPr>
          <w:p w:rsidR="006F510A" w:rsidRPr="003675F2" w:rsidRDefault="006F510A" w:rsidP="000D29B5">
            <w:pPr>
              <w:rPr>
                <w:b/>
              </w:rPr>
            </w:pPr>
            <w:r w:rsidRPr="003675F2">
              <w:rPr>
                <w:rFonts w:ascii="Garamond" w:hAnsi="Garamond"/>
                <w:b/>
              </w:rPr>
              <w:t>Suurendada Eesti ekspordi osatähtsust maailma kaubanduses</w:t>
            </w:r>
          </w:p>
        </w:tc>
      </w:tr>
      <w:tr w:rsidR="006F510A" w:rsidRPr="003675F2" w:rsidTr="000D29B5">
        <w:tc>
          <w:tcPr>
            <w:tcW w:w="3070" w:type="dxa"/>
            <w:vAlign w:val="center"/>
          </w:tcPr>
          <w:p w:rsidR="006F510A" w:rsidRPr="003675F2" w:rsidRDefault="006F510A" w:rsidP="000D29B5">
            <w:pPr>
              <w:jc w:val="center"/>
              <w:rPr>
                <w:b/>
              </w:rPr>
            </w:pPr>
            <w:r>
              <w:rPr>
                <w:b/>
              </w:rPr>
              <w:t>Algtase</w:t>
            </w:r>
            <w:r w:rsidRPr="003675F2">
              <w:rPr>
                <w:b/>
              </w:rPr>
              <w:t xml:space="preserve"> 2009</w:t>
            </w:r>
          </w:p>
        </w:tc>
        <w:tc>
          <w:tcPr>
            <w:tcW w:w="3071" w:type="dxa"/>
            <w:vAlign w:val="center"/>
          </w:tcPr>
          <w:p w:rsidR="006F510A" w:rsidRPr="003675F2" w:rsidRDefault="006F510A" w:rsidP="000D29B5">
            <w:pPr>
              <w:jc w:val="center"/>
              <w:rPr>
                <w:b/>
              </w:rPr>
            </w:pPr>
            <w:r w:rsidRPr="003675F2">
              <w:rPr>
                <w:b/>
              </w:rPr>
              <w:t>Eesti eesmärk 2015</w:t>
            </w:r>
          </w:p>
        </w:tc>
        <w:tc>
          <w:tcPr>
            <w:tcW w:w="3071" w:type="dxa"/>
            <w:vAlign w:val="center"/>
          </w:tcPr>
          <w:p w:rsidR="006F510A" w:rsidRPr="003675F2" w:rsidRDefault="006F510A" w:rsidP="000D29B5">
            <w:pPr>
              <w:jc w:val="center"/>
              <w:rPr>
                <w:b/>
              </w:rPr>
            </w:pPr>
            <w:r w:rsidRPr="003675F2">
              <w:rPr>
                <w:b/>
              </w:rPr>
              <w:t>Eesti eesmärk 2020</w:t>
            </w:r>
          </w:p>
        </w:tc>
      </w:tr>
      <w:tr w:rsidR="006F510A" w:rsidRPr="003675F2" w:rsidTr="000D29B5">
        <w:tc>
          <w:tcPr>
            <w:tcW w:w="3070" w:type="dxa"/>
            <w:vAlign w:val="center"/>
          </w:tcPr>
          <w:p w:rsidR="006F510A" w:rsidRPr="003675F2" w:rsidRDefault="006F510A" w:rsidP="000D29B5">
            <w:pPr>
              <w:jc w:val="center"/>
              <w:rPr>
                <w:b/>
              </w:rPr>
            </w:pPr>
            <w:r w:rsidRPr="003675F2">
              <w:rPr>
                <w:b/>
              </w:rPr>
              <w:t>0,085%</w:t>
            </w:r>
          </w:p>
        </w:tc>
        <w:tc>
          <w:tcPr>
            <w:tcW w:w="3071" w:type="dxa"/>
            <w:vAlign w:val="center"/>
          </w:tcPr>
          <w:p w:rsidR="006F510A" w:rsidRPr="003675F2" w:rsidRDefault="006F510A" w:rsidP="000D29B5">
            <w:pPr>
              <w:jc w:val="center"/>
              <w:rPr>
                <w:b/>
              </w:rPr>
            </w:pPr>
            <w:r w:rsidRPr="003675F2">
              <w:rPr>
                <w:b/>
              </w:rPr>
              <w:t>0,100%</w:t>
            </w:r>
          </w:p>
        </w:tc>
        <w:tc>
          <w:tcPr>
            <w:tcW w:w="3071" w:type="dxa"/>
            <w:vAlign w:val="center"/>
          </w:tcPr>
          <w:p w:rsidR="006F510A" w:rsidRPr="003675F2" w:rsidRDefault="006F510A" w:rsidP="000D29B5">
            <w:pPr>
              <w:jc w:val="center"/>
              <w:rPr>
                <w:b/>
              </w:rPr>
            </w:pPr>
            <w:r w:rsidRPr="003675F2">
              <w:rPr>
                <w:b/>
              </w:rPr>
              <w:t>0,110%</w:t>
            </w:r>
          </w:p>
        </w:tc>
      </w:tr>
    </w:tbl>
    <w:p w:rsidR="006F510A" w:rsidRPr="005D68F0" w:rsidRDefault="006F510A" w:rsidP="006F510A">
      <w:pPr>
        <w:rPr>
          <w:b/>
          <w:sz w:val="20"/>
          <w:szCs w:val="20"/>
        </w:rPr>
      </w:pPr>
    </w:p>
    <w:p w:rsidR="006F510A" w:rsidRDefault="006F510A" w:rsidP="006F510A">
      <w:pPr>
        <w:jc w:val="both"/>
        <w:rPr>
          <w:b/>
        </w:rPr>
      </w:pPr>
      <w:r w:rsidRPr="00220ABA">
        <w:t>Varasematel aastatel on Eesti ekspordi turuosa kasv kogu maailma kaupade ja teenuste ekspordis toimunud maailmakaubanduse kiire kasvu foonil. Arvestades majanduskasvu prognoosi, tähendab ekspordimahtude tõstmine eraldi eesmärgina ka ekspordi osakaalu tõusmist üle 120% Eesti SKPst</w:t>
      </w:r>
      <w:r>
        <w:t>,</w:t>
      </w:r>
      <w:r w:rsidRPr="00220ABA">
        <w:t xml:space="preserve"> mis eeldab jooksevhindades üle 30 miljardi euro suurust ekspordimahtu aastas aastal 2020. Eesmärkide saavutamise eelduseks on, et Eesti ekspordimahud peavad kasvama</w:t>
      </w:r>
      <w:r>
        <w:t xml:space="preserve"> maailma keskmisest kasvutempost 2-3 protsendipunkti võrra kiiremini. </w:t>
      </w:r>
      <w:r w:rsidRPr="00CC04A7">
        <w:rPr>
          <w:b/>
        </w:rPr>
        <w:t>201</w:t>
      </w:r>
      <w:r>
        <w:rPr>
          <w:b/>
        </w:rPr>
        <w:t>4</w:t>
      </w:r>
      <w:r w:rsidRPr="00CC04A7">
        <w:rPr>
          <w:b/>
        </w:rPr>
        <w:t>. aasta andmetel oli Eesti osakaal 0,096%.</w:t>
      </w:r>
    </w:p>
    <w:p w:rsidR="006F3176" w:rsidRPr="002D0299" w:rsidRDefault="006F3176" w:rsidP="006F510A">
      <w:pPr>
        <w:jc w:val="both"/>
        <w:rPr>
          <w:b/>
        </w:rPr>
      </w:pPr>
    </w:p>
    <w:p w:rsidR="006F510A" w:rsidRDefault="006F510A" w:rsidP="006F510A">
      <w:pPr>
        <w:jc w:val="both"/>
        <w:rPr>
          <w:rFonts w:ascii="Garamond" w:hAnsi="Garamond"/>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6F510A" w:rsidRPr="00E80E85" w:rsidTr="000D29B5">
        <w:trPr>
          <w:trHeight w:val="70"/>
        </w:trPr>
        <w:tc>
          <w:tcPr>
            <w:tcW w:w="9212" w:type="dxa"/>
            <w:gridSpan w:val="3"/>
            <w:shd w:val="clear" w:color="auto" w:fill="CCECFF"/>
            <w:vAlign w:val="center"/>
          </w:tcPr>
          <w:p w:rsidR="006F510A" w:rsidRPr="00E80E85" w:rsidRDefault="006F510A" w:rsidP="000D29B5">
            <w:pPr>
              <w:rPr>
                <w:b/>
              </w:rPr>
            </w:pPr>
            <w:r w:rsidRPr="00E80E85">
              <w:rPr>
                <w:b/>
              </w:rPr>
              <w:lastRenderedPageBreak/>
              <w:t>Tööjõukulude kasv ei ületa tootlikkuse kasvutempot</w:t>
            </w:r>
            <w:r w:rsidRPr="00E80E85">
              <w:rPr>
                <w:rStyle w:val="FootnoteReference"/>
                <w:b/>
              </w:rPr>
              <w:footnoteReference w:id="3"/>
            </w:r>
            <w:r w:rsidRPr="00E80E85">
              <w:rPr>
                <w:b/>
              </w:rPr>
              <w:t xml:space="preserve"> </w:t>
            </w:r>
          </w:p>
        </w:tc>
      </w:tr>
      <w:tr w:rsidR="006F510A" w:rsidRPr="00E80E85" w:rsidTr="000D29B5">
        <w:tc>
          <w:tcPr>
            <w:tcW w:w="3070" w:type="dxa"/>
            <w:vAlign w:val="center"/>
          </w:tcPr>
          <w:p w:rsidR="006F510A" w:rsidRPr="00E80E85" w:rsidRDefault="006F510A" w:rsidP="000D29B5">
            <w:pPr>
              <w:jc w:val="center"/>
              <w:rPr>
                <w:b/>
              </w:rPr>
            </w:pPr>
            <w:r w:rsidRPr="00E80E85">
              <w:rPr>
                <w:b/>
              </w:rPr>
              <w:t>Algtase 2011</w:t>
            </w:r>
          </w:p>
        </w:tc>
        <w:tc>
          <w:tcPr>
            <w:tcW w:w="3071" w:type="dxa"/>
            <w:vAlign w:val="center"/>
          </w:tcPr>
          <w:p w:rsidR="006F510A" w:rsidRPr="00E80E85" w:rsidRDefault="006F510A" w:rsidP="000D29B5">
            <w:pPr>
              <w:jc w:val="center"/>
              <w:rPr>
                <w:b/>
              </w:rPr>
            </w:pPr>
            <w:r w:rsidRPr="00E80E85">
              <w:rPr>
                <w:b/>
              </w:rPr>
              <w:t>Eesti eesmärk 2015</w:t>
            </w:r>
          </w:p>
        </w:tc>
        <w:tc>
          <w:tcPr>
            <w:tcW w:w="3071" w:type="dxa"/>
            <w:vAlign w:val="center"/>
          </w:tcPr>
          <w:p w:rsidR="006F510A" w:rsidRPr="00E80E85" w:rsidRDefault="006F510A" w:rsidP="000D29B5">
            <w:pPr>
              <w:jc w:val="center"/>
              <w:rPr>
                <w:b/>
              </w:rPr>
            </w:pPr>
            <w:r w:rsidRPr="00E80E85">
              <w:rPr>
                <w:b/>
              </w:rPr>
              <w:t>Eesti eesmärk 2020</w:t>
            </w:r>
          </w:p>
        </w:tc>
      </w:tr>
      <w:tr w:rsidR="006F510A" w:rsidRPr="003675F2" w:rsidTr="000D29B5">
        <w:tc>
          <w:tcPr>
            <w:tcW w:w="3070" w:type="dxa"/>
            <w:vAlign w:val="center"/>
          </w:tcPr>
          <w:p w:rsidR="006F510A" w:rsidRPr="00E80E85" w:rsidRDefault="006F510A" w:rsidP="000D29B5">
            <w:pPr>
              <w:jc w:val="center"/>
              <w:rPr>
                <w:b/>
              </w:rPr>
            </w:pPr>
            <w:r w:rsidRPr="00E80E85">
              <w:rPr>
                <w:b/>
              </w:rPr>
              <w:t>-2,8%</w:t>
            </w:r>
          </w:p>
        </w:tc>
        <w:tc>
          <w:tcPr>
            <w:tcW w:w="3071" w:type="dxa"/>
            <w:vAlign w:val="center"/>
          </w:tcPr>
          <w:p w:rsidR="006F510A" w:rsidRPr="00E80E85" w:rsidRDefault="006F510A" w:rsidP="000D29B5">
            <w:pPr>
              <w:jc w:val="center"/>
              <w:rPr>
                <w:b/>
              </w:rPr>
            </w:pPr>
            <w:r w:rsidRPr="00E80E85">
              <w:rPr>
                <w:b/>
              </w:rPr>
              <w:t>0%</w:t>
            </w:r>
          </w:p>
        </w:tc>
        <w:tc>
          <w:tcPr>
            <w:tcW w:w="3071" w:type="dxa"/>
            <w:vAlign w:val="center"/>
          </w:tcPr>
          <w:p w:rsidR="006F510A" w:rsidRPr="003675F2" w:rsidRDefault="006F510A" w:rsidP="000D29B5">
            <w:pPr>
              <w:jc w:val="center"/>
              <w:rPr>
                <w:b/>
              </w:rPr>
            </w:pPr>
            <w:r w:rsidRPr="00E80E85">
              <w:rPr>
                <w:b/>
              </w:rPr>
              <w:t>0%</w:t>
            </w:r>
          </w:p>
        </w:tc>
      </w:tr>
    </w:tbl>
    <w:p w:rsidR="006F510A" w:rsidRPr="005D68F0" w:rsidRDefault="006F510A" w:rsidP="006F510A">
      <w:pPr>
        <w:jc w:val="both"/>
        <w:rPr>
          <w:rFonts w:ascii="Garamond" w:hAnsi="Garamond"/>
          <w:sz w:val="20"/>
          <w:szCs w:val="20"/>
          <w:lang w:eastAsia="en-US"/>
        </w:rPr>
      </w:pPr>
    </w:p>
    <w:p w:rsidR="006F510A" w:rsidRDefault="006F510A" w:rsidP="006F510A">
      <w:pPr>
        <w:jc w:val="both"/>
        <w:rPr>
          <w:lang w:eastAsia="en-US"/>
        </w:rPr>
      </w:pPr>
      <w:r w:rsidRPr="00220ABA">
        <w:rPr>
          <w:lang w:eastAsia="en-US"/>
        </w:rPr>
        <w:t>Eelmise majandustsükli buumiaastail ületas tööjõukulude kasvutempo tootlikkuse oma. Majanduslanguse järgselt suurenesid välisnõudluse paranemise toel tööde mahud nii tööstussektoris kui ka enamikes teenindusharudes, misläbi müügitulud kasvasid ja kasumlikkus taastus. Oluline mõju oli ettevõtete tegevuskulude, eelkõige tööjõukulude kärpimisel, millega kaasnes efektiivsuse kasv ja konkurentsivõime suurenemine.</w:t>
      </w:r>
      <w:r>
        <w:rPr>
          <w:lang w:eastAsia="en-US"/>
        </w:rPr>
        <w:t xml:space="preserve"> Viimastel aastatel on tööjõukulude kasv ületanud tootlikkuse kasvu. ehk tööjõukulude suurenemine ei ole oluliselt reageerinud majanduskasvu aeglustumisele püsivate tööturu pingete tõttu. Reaalne tööjõuühiku kulu muutus oli 2014. aastal 4,3%.</w:t>
      </w:r>
      <w:r w:rsidRPr="00220ABA">
        <w:rPr>
          <w:lang w:eastAsia="en-US"/>
        </w:rPr>
        <w:t xml:space="preserve"> </w:t>
      </w:r>
    </w:p>
    <w:p w:rsidR="006F510A" w:rsidRPr="00220ABA" w:rsidRDefault="006F510A" w:rsidP="006F510A">
      <w:pPr>
        <w:jc w:val="both"/>
        <w:rPr>
          <w:lang w:eastAsia="en-US"/>
        </w:rPr>
      </w:pPr>
    </w:p>
    <w:p w:rsidR="00FA16E4" w:rsidRPr="00F33C5D" w:rsidRDefault="00FA16E4" w:rsidP="002D0299">
      <w:pPr>
        <w:jc w:val="both"/>
        <w:rPr>
          <w:rFonts w:ascii="Garamond" w:hAnsi="Garamond"/>
          <w:sz w:val="8"/>
          <w:szCs w:val="8"/>
          <w:lang w:eastAsia="en-US"/>
        </w:rPr>
      </w:pPr>
    </w:p>
    <w:p w:rsidR="002B7B8C" w:rsidRDefault="002B7B8C" w:rsidP="002B7B8C">
      <w:pPr>
        <w:pStyle w:val="ldpealkirjaalapealkiri"/>
        <w:spacing w:before="120" w:after="120"/>
        <w:jc w:val="both"/>
        <w:rPr>
          <w:rFonts w:ascii="Garamond" w:hAnsi="Garamond"/>
          <w:b/>
          <w:bCs/>
          <w:color w:val="000080"/>
          <w:sz w:val="24"/>
        </w:rPr>
      </w:pPr>
      <w:r>
        <w:rPr>
          <w:rFonts w:ascii="Garamond" w:hAnsi="Garamond"/>
          <w:b/>
          <w:bCs/>
          <w:color w:val="000080"/>
          <w:sz w:val="24"/>
        </w:rPr>
        <w:t>Valitsuse poliitika põhisuunad</w:t>
      </w:r>
    </w:p>
    <w:p w:rsidR="00722FA3" w:rsidRPr="00B83A51" w:rsidRDefault="00220ABA" w:rsidP="00722FA3">
      <w:pPr>
        <w:shd w:val="clear" w:color="auto" w:fill="CCCCCC"/>
        <w:jc w:val="both"/>
      </w:pPr>
      <w:r>
        <w:rPr>
          <w:b/>
        </w:rPr>
        <w:t>6</w:t>
      </w:r>
      <w:r w:rsidR="00722FA3" w:rsidRPr="00B83A51">
        <w:rPr>
          <w:b/>
        </w:rPr>
        <w:t xml:space="preserve">. Ettevõtete pikaajalist rahvusvahelise konkurentsivõime kasvu soodustava poliitika kujundamine. </w:t>
      </w:r>
    </w:p>
    <w:p w:rsidR="00722FA3" w:rsidRPr="00B83A51" w:rsidRDefault="00722FA3" w:rsidP="00722FA3">
      <w:pPr>
        <w:jc w:val="both"/>
      </w:pPr>
    </w:p>
    <w:p w:rsidR="00D122D1" w:rsidRDefault="00EA0F4A" w:rsidP="00EA0F4A">
      <w:pPr>
        <w:jc w:val="both"/>
      </w:pPr>
      <w:r w:rsidRPr="00B83A51">
        <w:t xml:space="preserve">Keskpikas perspektiivis senised väljakutsed ettevõtluskeskkonna osas oluliselt ei muutu. </w:t>
      </w:r>
      <w:r w:rsidRPr="00B83A51">
        <w:rPr>
          <w:b/>
        </w:rPr>
        <w:t>Ettevõtlusega alustamine</w:t>
      </w:r>
      <w:r w:rsidR="00D122D1">
        <w:rPr>
          <w:b/>
        </w:rPr>
        <w:t>, ettevõtte arendamine ja efektiivsuse tõstmine</w:t>
      </w:r>
      <w:r w:rsidRPr="00B83A51">
        <w:rPr>
          <w:b/>
        </w:rPr>
        <w:t>, rahvusvahelistumine, innovatsioon ning koostöö on jätkuvalt raamistikuks, milles arengud võiksid toimuda.</w:t>
      </w:r>
      <w:r w:rsidRPr="00B83A51">
        <w:t xml:space="preserve"> </w:t>
      </w:r>
      <w:r w:rsidR="00B62015">
        <w:t xml:space="preserve">Üldise suunana tuleb </w:t>
      </w:r>
      <w:r w:rsidR="00B62015" w:rsidRPr="006B2912">
        <w:rPr>
          <w:b/>
        </w:rPr>
        <w:t>toetuspoliitikalt liikuda finants</w:t>
      </w:r>
      <w:r w:rsidR="00766AD4">
        <w:rPr>
          <w:b/>
        </w:rPr>
        <w:t>meetmete</w:t>
      </w:r>
      <w:r w:rsidR="00B62015" w:rsidRPr="006B2912">
        <w:rPr>
          <w:b/>
        </w:rPr>
        <w:t xml:space="preserve"> kasutamise suunas</w:t>
      </w:r>
      <w:r w:rsidR="00B62015" w:rsidRPr="00B62015">
        <w:t>, mis võimaldab kaasa senisest enam avaliku- ja erasektori vahendeid</w:t>
      </w:r>
      <w:r w:rsidR="00B62015">
        <w:t>.</w:t>
      </w:r>
    </w:p>
    <w:p w:rsidR="00D122D1" w:rsidRDefault="00D122D1" w:rsidP="00EA0F4A">
      <w:pPr>
        <w:jc w:val="both"/>
      </w:pPr>
    </w:p>
    <w:p w:rsidR="00D122D1" w:rsidRDefault="00EA0F4A" w:rsidP="00EA0F4A">
      <w:pPr>
        <w:jc w:val="both"/>
      </w:pPr>
      <w:r w:rsidRPr="00B83A51">
        <w:t xml:space="preserve">Eesti jaoks endiselt </w:t>
      </w:r>
      <w:r w:rsidRPr="00B83A51">
        <w:rPr>
          <w:b/>
        </w:rPr>
        <w:t>kõige olulisem on tootlikkuse kasvu tagamine ning ettevõtjatele kapitali ligipääsu parandamine.</w:t>
      </w:r>
      <w:r w:rsidRPr="00B83A51">
        <w:t xml:space="preserve"> Finantseerimis</w:t>
      </w:r>
      <w:r w:rsidR="00D122D1">
        <w:t>võimekuse küsimus</w:t>
      </w:r>
      <w:r w:rsidRPr="00B83A51">
        <w:t xml:space="preserve"> muutu</w:t>
      </w:r>
      <w:r w:rsidR="00D122D1">
        <w:t>b</w:t>
      </w:r>
      <w:r w:rsidRPr="00B83A51">
        <w:t xml:space="preserve"> teravamaks seoses ressursside piiratusega</w:t>
      </w:r>
      <w:r w:rsidR="00D122D1">
        <w:t xml:space="preserve"> ettevõtete laienemis- ja kasvuetappides. </w:t>
      </w:r>
      <w:r w:rsidR="00D122D1">
        <w:rPr>
          <w:b/>
        </w:rPr>
        <w:t>T</w:t>
      </w:r>
      <w:r w:rsidRPr="00B83A51">
        <w:rPr>
          <w:b/>
        </w:rPr>
        <w:t xml:space="preserve">oetuspoliitika </w:t>
      </w:r>
      <w:r w:rsidR="00D122D1">
        <w:rPr>
          <w:b/>
        </w:rPr>
        <w:t>peaks to</w:t>
      </w:r>
      <w:r w:rsidR="00766AD4">
        <w:rPr>
          <w:b/>
        </w:rPr>
        <w:t>e</w:t>
      </w:r>
      <w:r w:rsidR="00D122D1">
        <w:rPr>
          <w:b/>
        </w:rPr>
        <w:t>tama ettevõtete kasvuamb</w:t>
      </w:r>
      <w:r w:rsidR="000D1623">
        <w:rPr>
          <w:b/>
        </w:rPr>
        <w:t>i</w:t>
      </w:r>
      <w:r w:rsidR="00D122D1">
        <w:rPr>
          <w:b/>
        </w:rPr>
        <w:t>tsioonide elluviimist, aga ka protsesside efektiivsemaks muutmist.</w:t>
      </w:r>
      <w:r w:rsidR="00D122D1">
        <w:t xml:space="preserve"> Olulist rõhku tuleb panna ka terviklike ettevõtteid abistavate meetmepakettide väljatöötamisele. Eelduseks on ettevõtte vajaduste täpsem väljaselgitamine, pikemaajaline planeerimisfookus ning toetuseks suunatud ressursside ja oskusteabe terviklik juhtimine.</w:t>
      </w:r>
      <w:r w:rsidRPr="00B83A51">
        <w:t xml:space="preserve"> </w:t>
      </w:r>
    </w:p>
    <w:p w:rsidR="000D1623" w:rsidRDefault="000D1623" w:rsidP="00EA0F4A">
      <w:pPr>
        <w:jc w:val="both"/>
      </w:pPr>
    </w:p>
    <w:p w:rsidR="00EA0F4A" w:rsidRPr="00B83A51" w:rsidRDefault="00EA0F4A" w:rsidP="00EA0F4A">
      <w:pPr>
        <w:jc w:val="both"/>
      </w:pPr>
      <w:r w:rsidRPr="00B83A51">
        <w:t xml:space="preserve">Kesksele kohale jäävad ka </w:t>
      </w:r>
      <w:r w:rsidRPr="00B83A51">
        <w:rPr>
          <w:b/>
        </w:rPr>
        <w:t>sobiliku tööjõu kättesaadavusega seotud küsimused</w:t>
      </w:r>
      <w:r w:rsidRPr="00B83A51">
        <w:t xml:space="preserve">, mis esitavad väljakutse eelkõige haridussüsteemi kohandumisvõimele. Ettevõtluskeskkonna konkurentsivõime kasvu saaks soosida eelkõige </w:t>
      </w:r>
      <w:r w:rsidRPr="00B83A51">
        <w:rPr>
          <w:b/>
        </w:rPr>
        <w:t>regulatiivse stabiilsusega</w:t>
      </w:r>
      <w:r w:rsidRPr="00B83A51">
        <w:t>, jättes ruumi muutustele, mis teenivad keskkonna kaasajastamise eesmärke</w:t>
      </w:r>
      <w:r w:rsidRPr="00B83A51">
        <w:rPr>
          <w:b/>
        </w:rPr>
        <w:t xml:space="preserve"> </w:t>
      </w:r>
      <w:r w:rsidRPr="00B83A51">
        <w:t>(sh. Euroopa siseturu laiendamine ja süvendamine).</w:t>
      </w:r>
      <w:r w:rsidRPr="00B83A51">
        <w:rPr>
          <w:b/>
        </w:rPr>
        <w:t xml:space="preserve"> Ettevõtete eksport vajaks kestvalt riigipoolset toetust</w:t>
      </w:r>
      <w:r w:rsidRPr="00B83A51">
        <w:t xml:space="preserve"> kõige laiemas mõttes ehk teisisõnu vajatakse </w:t>
      </w:r>
      <w:r w:rsidR="004B2745">
        <w:t xml:space="preserve">nii nõustamisi kui koolitusi kui ka </w:t>
      </w:r>
      <w:r w:rsidRPr="00B83A51">
        <w:t>otsetoetusmeetme</w:t>
      </w:r>
      <w:r w:rsidR="004B2745">
        <w:t>id ja tagatismeetmete</w:t>
      </w:r>
      <w:r w:rsidRPr="00B83A51">
        <w:t xml:space="preserve"> jätkumist</w:t>
      </w:r>
      <w:r w:rsidR="004B2745">
        <w:t>.</w:t>
      </w:r>
      <w:r w:rsidRPr="00B83A51">
        <w:t xml:space="preserve">.     </w:t>
      </w:r>
    </w:p>
    <w:p w:rsidR="00EA0F4A" w:rsidRPr="00B83A51" w:rsidRDefault="00EA0F4A" w:rsidP="00EA0F4A">
      <w:pPr>
        <w:jc w:val="both"/>
        <w:rPr>
          <w:b/>
        </w:rPr>
      </w:pPr>
    </w:p>
    <w:p w:rsidR="00EA0F4A" w:rsidRDefault="00EA0F4A" w:rsidP="00EA0F4A">
      <w:pPr>
        <w:jc w:val="both"/>
      </w:pPr>
      <w:r w:rsidRPr="00B83A51">
        <w:rPr>
          <w:bCs/>
        </w:rPr>
        <w:t xml:space="preserve">Eesti ettevõtluskeskkonda peetakse võrdluses teiste riikidega soodsate hulka kuuluvaks. Siiski tuleb tegeleda spetsiifilisemate väljakutsetega. Regulatiivse keskkonna osas </w:t>
      </w:r>
      <w:r w:rsidRPr="00B83A51">
        <w:rPr>
          <w:b/>
          <w:bCs/>
        </w:rPr>
        <w:t>vajame muudatusi seadusandluses, millega stimuleerida majandusarengu kontekstis prioriteetsete poliitikate ellurakendamist</w:t>
      </w:r>
      <w:r w:rsidRPr="00B83A51">
        <w:rPr>
          <w:bCs/>
        </w:rPr>
        <w:t xml:space="preserve">. Jätkuvalt tuleb tegeleda ka </w:t>
      </w:r>
      <w:r w:rsidRPr="00B83A51">
        <w:rPr>
          <w:b/>
          <w:bCs/>
        </w:rPr>
        <w:t>halduskoormuse süstemaatilise hindamise ja vähendamisega</w:t>
      </w:r>
      <w:r w:rsidRPr="00B83A51">
        <w:rPr>
          <w:bCs/>
        </w:rPr>
        <w:t xml:space="preserve">. </w:t>
      </w:r>
      <w:r w:rsidRPr="00B83A51">
        <w:rPr>
          <w:b/>
          <w:bCs/>
        </w:rPr>
        <w:t>Maksukeskkonna stabiilsuse kestev säilitamine</w:t>
      </w:r>
      <w:r w:rsidRPr="00B83A51">
        <w:rPr>
          <w:bCs/>
        </w:rPr>
        <w:t xml:space="preserve"> julgustab ettevõtjaid investeerima oma äride arendamisse.</w:t>
      </w:r>
      <w:r w:rsidRPr="00B83A51">
        <w:t xml:space="preserve"> </w:t>
      </w:r>
    </w:p>
    <w:p w:rsidR="00EA0F4A" w:rsidRDefault="00EA0F4A" w:rsidP="00EA0F4A">
      <w:pPr>
        <w:jc w:val="both"/>
      </w:pPr>
    </w:p>
    <w:p w:rsidR="00EA0F4A" w:rsidRDefault="00EA0F4A" w:rsidP="00EA0F4A">
      <w:pPr>
        <w:jc w:val="both"/>
      </w:pPr>
      <w:r>
        <w:lastRenderedPageBreak/>
        <w:t xml:space="preserve">Olulisemate meetmetena väljakutsele vastamiseks tuleb luua </w:t>
      </w:r>
      <w:r w:rsidR="00766AD4">
        <w:rPr>
          <w:b/>
        </w:rPr>
        <w:t xml:space="preserve">finantsmeetmed </w:t>
      </w:r>
      <w:r w:rsidR="008F6677">
        <w:rPr>
          <w:b/>
        </w:rPr>
        <w:t>ettevõtete protsesside efektiivsemaks muutmiseks</w:t>
      </w:r>
      <w:r w:rsidR="00D06CAA">
        <w:rPr>
          <w:b/>
        </w:rPr>
        <w:t xml:space="preserve"> ning kasvuam</w:t>
      </w:r>
      <w:r w:rsidR="008F20C8">
        <w:rPr>
          <w:b/>
        </w:rPr>
        <w:t>b</w:t>
      </w:r>
      <w:r w:rsidR="00D06CAA">
        <w:rPr>
          <w:b/>
        </w:rPr>
        <w:t>itsioonide toetamiseks</w:t>
      </w:r>
      <w:r w:rsidR="008F6677">
        <w:rPr>
          <w:b/>
        </w:rPr>
        <w:t xml:space="preserve">, </w:t>
      </w:r>
      <w:r w:rsidR="008F6677">
        <w:t>pakkuda kvaliteetsemat nõustamisteenust ja koolitust pikemajaliste sihtide seadmiseks,</w:t>
      </w:r>
      <w:r>
        <w:t xml:space="preserve"> töötada välja </w:t>
      </w:r>
      <w:r w:rsidRPr="002F73CC">
        <w:rPr>
          <w:b/>
        </w:rPr>
        <w:t>ettevõtlustoetuste mõjude hindamise süsteem</w:t>
      </w:r>
      <w:r>
        <w:rPr>
          <w:b/>
        </w:rPr>
        <w:t xml:space="preserve"> </w:t>
      </w:r>
      <w:r>
        <w:t xml:space="preserve">ning </w:t>
      </w:r>
      <w:r w:rsidRPr="002F73CC">
        <w:rPr>
          <w:b/>
        </w:rPr>
        <w:t>konsolideerida ettevõtlustoetuseid</w:t>
      </w:r>
      <w:r>
        <w:t xml:space="preserve">, jätkata meetmetega, mis on suunatud </w:t>
      </w:r>
      <w:r w:rsidRPr="002F73CC">
        <w:rPr>
          <w:b/>
        </w:rPr>
        <w:t>ekspordi toetamisele ja koostöö arendamisele</w:t>
      </w:r>
      <w:r>
        <w:t xml:space="preserve">, pakkuda riigipoolset tuge ettevõtjatele välisturgudele minemisel läbi </w:t>
      </w:r>
      <w:r w:rsidRPr="002F73CC">
        <w:rPr>
          <w:b/>
        </w:rPr>
        <w:t>välisesinduste efektiivsema kasutamise</w:t>
      </w:r>
      <w:r w:rsidR="008F20C8">
        <w:rPr>
          <w:b/>
        </w:rPr>
        <w:t>.</w:t>
      </w:r>
      <w:r>
        <w:t xml:space="preserve"> </w:t>
      </w:r>
    </w:p>
    <w:p w:rsidR="00DE7228" w:rsidRPr="00B83A51" w:rsidRDefault="00DE7228" w:rsidP="00DE7228">
      <w:pPr>
        <w:ind w:left="360"/>
        <w:jc w:val="both"/>
        <w:rPr>
          <w:b/>
          <w:bCs/>
        </w:rPr>
      </w:pPr>
    </w:p>
    <w:p w:rsidR="00DE7228" w:rsidRPr="00B83A51" w:rsidRDefault="00220ABA" w:rsidP="00DE7228">
      <w:pPr>
        <w:shd w:val="clear" w:color="auto" w:fill="CCCCCC"/>
        <w:jc w:val="both"/>
      </w:pPr>
      <w:r>
        <w:rPr>
          <w:b/>
        </w:rPr>
        <w:t>7</w:t>
      </w:r>
      <w:r w:rsidR="00DE7228" w:rsidRPr="00B83A51">
        <w:rPr>
          <w:b/>
        </w:rPr>
        <w:t>. Keskkonna loomine senisest suuremas mahus ekspordipotentsiaaliga ja suurema lisandväärtusega sektoritesse suunatud otseste välisinvesteeringute Eestisse toomiseks.</w:t>
      </w:r>
    </w:p>
    <w:p w:rsidR="00DE7228" w:rsidRPr="00B83A51" w:rsidRDefault="00DE7228" w:rsidP="00DE7228">
      <w:pPr>
        <w:jc w:val="both"/>
      </w:pPr>
    </w:p>
    <w:p w:rsidR="004C1B3C" w:rsidRDefault="00EA0F4A" w:rsidP="00EA0F4A">
      <w:pPr>
        <w:jc w:val="both"/>
      </w:pPr>
      <w:r w:rsidRPr="00B83A51">
        <w:t xml:space="preserve">Eestisse tehtavate välisinvesteeringute taseme kasvu jätkuv kindlustamine ja Eesti ekspordi arendamine sõltub olulisel määral </w:t>
      </w:r>
      <w:r w:rsidRPr="00B83A51">
        <w:rPr>
          <w:b/>
        </w:rPr>
        <w:t>kvalifitseeritud tööjõu kättesaadavuse</w:t>
      </w:r>
      <w:r w:rsidRPr="00B83A51">
        <w:t xml:space="preserve"> tagamisest. Puudus on nii oskustöölistest, keda vajavad kodumaised ja välisosalusega ettevõtted, aga ka inimestest, kes oleksid võimelised kindlustama ettevõtjate edu eksporditurgudel. </w:t>
      </w:r>
    </w:p>
    <w:p w:rsidR="004C1B3C" w:rsidRDefault="004C1B3C" w:rsidP="00EA0F4A">
      <w:pPr>
        <w:jc w:val="both"/>
      </w:pPr>
    </w:p>
    <w:p w:rsidR="00EA0F4A" w:rsidRPr="00B83A51" w:rsidRDefault="006F1671" w:rsidP="00EA0F4A">
      <w:pPr>
        <w:jc w:val="both"/>
      </w:pPr>
      <w:r>
        <w:t>I</w:t>
      </w:r>
      <w:r w:rsidR="00EA0F4A" w:rsidRPr="00B83A51">
        <w:t>nvestorite meelitamiseks tule</w:t>
      </w:r>
      <w:r>
        <w:t>b</w:t>
      </w:r>
      <w:r w:rsidR="00EA0F4A" w:rsidRPr="00B83A51">
        <w:t xml:space="preserve"> neile </w:t>
      </w:r>
      <w:r w:rsidR="00EA0F4A" w:rsidRPr="00B83A51">
        <w:rPr>
          <w:b/>
        </w:rPr>
        <w:t>pakkuda atraktiivseid hüvesid, mis oleksid rahvusvahelises võrdluses konkurentsivõimelised.</w:t>
      </w:r>
      <w:r w:rsidR="00EA0F4A" w:rsidRPr="00B83A51">
        <w:t xml:space="preserve"> Jätkuvalt oleks tarvilik </w:t>
      </w:r>
      <w:r w:rsidR="00EA0F4A" w:rsidRPr="00B83A51">
        <w:rPr>
          <w:b/>
        </w:rPr>
        <w:t>arendada välisinvestorite teenindamiseks suunatud toetusmeetmeid</w:t>
      </w:r>
      <w:r w:rsidR="00EA0F4A" w:rsidRPr="00B83A51">
        <w:t xml:space="preserve">. Ka </w:t>
      </w:r>
      <w:r w:rsidR="00EA0F4A" w:rsidRPr="00B83A51">
        <w:rPr>
          <w:b/>
        </w:rPr>
        <w:t>Eesti üldine maine ja sotsiaalne keskkond</w:t>
      </w:r>
      <w:r w:rsidR="00EA0F4A" w:rsidRPr="00B83A51">
        <w:t xml:space="preserve"> peaksid järk-järgult muutuma </w:t>
      </w:r>
      <w:r w:rsidR="00EA0F4A" w:rsidRPr="00B83A51">
        <w:rPr>
          <w:b/>
        </w:rPr>
        <w:t>eduteguriteks</w:t>
      </w:r>
      <w:r w:rsidR="00EA0F4A" w:rsidRPr="00B83A51">
        <w:t xml:space="preserve"> uute välisinvesteeringute sissetoomisel. Kõrge lisandväärtusega sektoritesse suunatud välisinvesteeringud omavad olulist </w:t>
      </w:r>
      <w:r w:rsidR="00EA0F4A" w:rsidRPr="00B83A51">
        <w:rPr>
          <w:b/>
        </w:rPr>
        <w:t>mõju tarneahelate kujunemisele</w:t>
      </w:r>
      <w:r w:rsidR="00EA0F4A" w:rsidRPr="00B83A51">
        <w:t xml:space="preserve"> ning seeläbi võivad avaneda </w:t>
      </w:r>
      <w:r w:rsidR="00EA0F4A" w:rsidRPr="00B83A51">
        <w:rPr>
          <w:b/>
        </w:rPr>
        <w:t>Eesti ettevõtjatele uued ekspordivõimalused</w:t>
      </w:r>
      <w:r w:rsidR="00EA0F4A" w:rsidRPr="00B83A51">
        <w:t xml:space="preserve">. Samuti soodustavad sellised välisinvesteeringud </w:t>
      </w:r>
      <w:r w:rsidR="00EA0F4A" w:rsidRPr="00B83A51">
        <w:rPr>
          <w:b/>
        </w:rPr>
        <w:t>teadmiste ja oskuste siiret</w:t>
      </w:r>
      <w:r w:rsidR="00EA0F4A" w:rsidRPr="00B83A51">
        <w:t xml:space="preserve"> ning teadus- ja arendusmahukad investeeringud aitavad kaasa valdkonna kompetentside paranemisele laiemalt.</w:t>
      </w:r>
    </w:p>
    <w:p w:rsidR="00EA0F4A" w:rsidRPr="00B83A51" w:rsidRDefault="00EA0F4A" w:rsidP="00EA0F4A">
      <w:pPr>
        <w:jc w:val="both"/>
        <w:rPr>
          <w:b/>
        </w:rPr>
      </w:pPr>
    </w:p>
    <w:p w:rsidR="0081381A" w:rsidRPr="00FF7B9E" w:rsidRDefault="00EA0F4A" w:rsidP="00EA0F4A">
      <w:pPr>
        <w:jc w:val="both"/>
        <w:rPr>
          <w:bCs/>
        </w:rPr>
      </w:pPr>
      <w:r w:rsidRPr="00B83A51">
        <w:rPr>
          <w:bCs/>
        </w:rPr>
        <w:t>Erinevatele investoritele on investeerimisotsuse tegemisel olulised kindlad argumendid.</w:t>
      </w:r>
      <w:r w:rsidRPr="00B83A51">
        <w:rPr>
          <w:b/>
          <w:bCs/>
        </w:rPr>
        <w:t xml:space="preserve"> </w:t>
      </w:r>
      <w:r w:rsidRPr="00B83A51">
        <w:rPr>
          <w:bCs/>
        </w:rPr>
        <w:t xml:space="preserve">Välisinvesteeringute meelitamisel konkureerib </w:t>
      </w:r>
      <w:r w:rsidRPr="00B83A51">
        <w:rPr>
          <w:b/>
          <w:bCs/>
        </w:rPr>
        <w:t>Eesti</w:t>
      </w:r>
      <w:r w:rsidRPr="00B83A51">
        <w:rPr>
          <w:bCs/>
        </w:rPr>
        <w:t xml:space="preserve"> aktiivselt teiste riikidega, </w:t>
      </w:r>
      <w:r w:rsidRPr="00B83A51">
        <w:rPr>
          <w:b/>
          <w:bCs/>
        </w:rPr>
        <w:t>positsioneerides</w:t>
      </w:r>
      <w:r w:rsidRPr="00B83A51">
        <w:rPr>
          <w:bCs/>
        </w:rPr>
        <w:t xml:space="preserve"> ennast pigem </w:t>
      </w:r>
      <w:r w:rsidRPr="00B83A51">
        <w:rPr>
          <w:b/>
          <w:bCs/>
        </w:rPr>
        <w:t>kõrgemat lisandväärtust loovate ning tarneahelaid soodustavate välisinvesteeringute sihtriigina</w:t>
      </w:r>
      <w:r w:rsidRPr="00B83A51">
        <w:rPr>
          <w:bCs/>
        </w:rPr>
        <w:t xml:space="preserve">. Eesti konkurentsivõime säilitamiseks ja arendamiseks välisinvesteeringute meelitamisel on oluline roll tervikliku ja Eestit positiivses mõttes </w:t>
      </w:r>
      <w:r w:rsidRPr="00B83A51">
        <w:rPr>
          <w:b/>
          <w:bCs/>
        </w:rPr>
        <w:t>eristava investeerimiskeskkonna arendamisstrateegia</w:t>
      </w:r>
      <w:r w:rsidRPr="00B83A51">
        <w:rPr>
          <w:bCs/>
        </w:rPr>
        <w:t xml:space="preserve"> elluviimine.</w:t>
      </w:r>
      <w:r w:rsidR="0081381A">
        <w:rPr>
          <w:bCs/>
        </w:rPr>
        <w:t xml:space="preserve"> Oluline on edendada Eesti ette</w:t>
      </w:r>
      <w:r w:rsidR="0081381A" w:rsidRPr="0081381A">
        <w:rPr>
          <w:bCs/>
        </w:rPr>
        <w:t xml:space="preserve">võtjate poolt osutatavate </w:t>
      </w:r>
      <w:r w:rsidR="0081381A" w:rsidRPr="00CD2CF5">
        <w:rPr>
          <w:b/>
          <w:bCs/>
        </w:rPr>
        <w:t>finantsteenuste- ja sellega seotud tugiteenuste eksporti</w:t>
      </w:r>
      <w:r w:rsidR="0081381A" w:rsidRPr="0081381A">
        <w:rPr>
          <w:bCs/>
        </w:rPr>
        <w:t xml:space="preserve"> ning </w:t>
      </w:r>
      <w:r w:rsidR="0081381A" w:rsidRPr="00CD2CF5">
        <w:rPr>
          <w:bCs/>
        </w:rPr>
        <w:t>tugevdada seeläbi Eesti finantssektorit</w:t>
      </w:r>
      <w:r w:rsidR="0081381A" w:rsidRPr="0081381A">
        <w:rPr>
          <w:bCs/>
        </w:rPr>
        <w:t xml:space="preserve">, mis mängib samuti olulist rolli </w:t>
      </w:r>
      <w:r w:rsidR="0081381A" w:rsidRPr="00FF7B9E">
        <w:rPr>
          <w:bCs/>
        </w:rPr>
        <w:t xml:space="preserve">investeerimiskeskkonna atraktiivsuse suurendamisel. </w:t>
      </w:r>
    </w:p>
    <w:p w:rsidR="00FF7B9E" w:rsidRPr="00FF7B9E" w:rsidRDefault="00FF7B9E" w:rsidP="00EA0F4A">
      <w:pPr>
        <w:jc w:val="both"/>
        <w:rPr>
          <w:bCs/>
        </w:rPr>
      </w:pPr>
    </w:p>
    <w:p w:rsidR="00FF7B9E" w:rsidRPr="00FF7B9E" w:rsidRDefault="00FF7B9E" w:rsidP="00EA0F4A">
      <w:pPr>
        <w:jc w:val="both"/>
        <w:rPr>
          <w:bCs/>
        </w:rPr>
      </w:pPr>
      <w:r w:rsidRPr="00FF7B9E">
        <w:t xml:space="preserve">Kõrgemat lisandväärtust loovate välisinvesteeringute meelitamiseks Eestisse peab  Eesti maine kujundamisel ja nähtavuse suurendamisel Eesti rahvusvahelise kuvandi oluliseks osaks saama </w:t>
      </w:r>
      <w:r w:rsidRPr="00FF7B9E">
        <w:rPr>
          <w:b/>
        </w:rPr>
        <w:t>teadus ja teadmusmahukas ettevõtlus.</w:t>
      </w:r>
    </w:p>
    <w:p w:rsidR="00EA0F4A" w:rsidRPr="00FF7B9E" w:rsidRDefault="00EA0F4A" w:rsidP="00EA0F4A">
      <w:pPr>
        <w:jc w:val="both"/>
        <w:rPr>
          <w:bCs/>
        </w:rPr>
      </w:pPr>
    </w:p>
    <w:p w:rsidR="00EA0F4A" w:rsidRDefault="00EA0F4A" w:rsidP="00EA0F4A">
      <w:pPr>
        <w:jc w:val="both"/>
        <w:rPr>
          <w:bCs/>
        </w:rPr>
      </w:pPr>
      <w:r w:rsidRPr="00FF7B9E">
        <w:rPr>
          <w:bCs/>
        </w:rPr>
        <w:t>Meetmetena tuleb jätkata tarneahelaid</w:t>
      </w:r>
      <w:r>
        <w:rPr>
          <w:bCs/>
        </w:rPr>
        <w:t xml:space="preserve"> ergutava </w:t>
      </w:r>
      <w:r w:rsidRPr="00967ABD">
        <w:rPr>
          <w:b/>
          <w:bCs/>
        </w:rPr>
        <w:t>suurinvestorite toetusmeetmega</w:t>
      </w:r>
      <w:r>
        <w:rPr>
          <w:bCs/>
        </w:rPr>
        <w:t xml:space="preserve">, suurendada </w:t>
      </w:r>
      <w:r w:rsidRPr="00967ABD">
        <w:rPr>
          <w:b/>
          <w:bCs/>
        </w:rPr>
        <w:t>MAKide ja KOVide võimekust</w:t>
      </w:r>
      <w:r>
        <w:rPr>
          <w:bCs/>
        </w:rPr>
        <w:t xml:space="preserve"> tegeleda regionaalse </w:t>
      </w:r>
      <w:r w:rsidRPr="00967ABD">
        <w:rPr>
          <w:b/>
          <w:bCs/>
        </w:rPr>
        <w:t>investorteenindusega</w:t>
      </w:r>
      <w:r>
        <w:rPr>
          <w:bCs/>
        </w:rPr>
        <w:t xml:space="preserve">, luua </w:t>
      </w:r>
      <w:r w:rsidRPr="00967ABD">
        <w:rPr>
          <w:b/>
          <w:bCs/>
        </w:rPr>
        <w:t>ingliskeelseid infomaterjale tööjõu palkamise</w:t>
      </w:r>
      <w:r>
        <w:rPr>
          <w:bCs/>
        </w:rPr>
        <w:t xml:space="preserve"> soodustamiseks ning ühtse kontaktpunkti </w:t>
      </w:r>
      <w:hyperlink r:id="rId9" w:history="1">
        <w:r w:rsidRPr="00967ABD">
          <w:rPr>
            <w:rStyle w:val="Hyperlink"/>
            <w:b/>
            <w:bCs/>
            <w:color w:val="auto"/>
            <w:u w:val="none"/>
          </w:rPr>
          <w:t>www.eesti.ee</w:t>
        </w:r>
      </w:hyperlink>
      <w:r w:rsidRPr="00967ABD">
        <w:rPr>
          <w:b/>
          <w:bCs/>
        </w:rPr>
        <w:t xml:space="preserve"> kasutamise lihtsustamiseks</w:t>
      </w:r>
      <w:r>
        <w:rPr>
          <w:bCs/>
        </w:rPr>
        <w:t xml:space="preserve">. Oluline on ka tervikliku </w:t>
      </w:r>
      <w:r w:rsidRPr="00387B84">
        <w:rPr>
          <w:b/>
          <w:bCs/>
        </w:rPr>
        <w:t>talendiprogrammi väljatöötamine</w:t>
      </w:r>
      <w:r>
        <w:rPr>
          <w:bCs/>
        </w:rPr>
        <w:t xml:space="preserve"> ja rakendamine ning </w:t>
      </w:r>
      <w:r w:rsidRPr="00387B84">
        <w:rPr>
          <w:b/>
          <w:bCs/>
        </w:rPr>
        <w:t>võõrkeelse üldhariduse kättesaadavuse parandamine</w:t>
      </w:r>
      <w:r>
        <w:rPr>
          <w:bCs/>
        </w:rPr>
        <w:t xml:space="preserve"> Eestis.  </w:t>
      </w:r>
    </w:p>
    <w:p w:rsidR="00DE7228" w:rsidRPr="00B83A51" w:rsidRDefault="00DE7228" w:rsidP="00DE7228">
      <w:pPr>
        <w:rPr>
          <w:b/>
        </w:rPr>
      </w:pPr>
    </w:p>
    <w:p w:rsidR="00DE7228" w:rsidRPr="00B83A51" w:rsidRDefault="00220ABA" w:rsidP="00DE7228">
      <w:pPr>
        <w:shd w:val="clear" w:color="auto" w:fill="CCCCCC"/>
        <w:jc w:val="both"/>
      </w:pPr>
      <w:r>
        <w:rPr>
          <w:b/>
        </w:rPr>
        <w:t>8</w:t>
      </w:r>
      <w:r w:rsidR="00DE7228" w:rsidRPr="00B83A51">
        <w:rPr>
          <w:b/>
        </w:rPr>
        <w:t>. Eelduste loomine erasektori teadus- ja arendustegevuse mahtude suurenemiseks ning innovatsiooni väljundite arvu ja kvaliteedi tõstmiseks.</w:t>
      </w:r>
    </w:p>
    <w:p w:rsidR="00365D17" w:rsidRDefault="00365D17" w:rsidP="00365D17">
      <w:pPr>
        <w:jc w:val="both"/>
      </w:pPr>
    </w:p>
    <w:p w:rsidR="00365D17" w:rsidRPr="00B83A51" w:rsidRDefault="00365D17" w:rsidP="00365D17">
      <w:pPr>
        <w:jc w:val="both"/>
      </w:pPr>
      <w:r w:rsidRPr="00B245C8">
        <w:lastRenderedPageBreak/>
        <w:t>Eesti ettevõtete T&amp;A investeeringu</w:t>
      </w:r>
      <w:r>
        <w:t>d on oluliselt kahanenud  ning TA kulutuste osakaal SKPst on viimastel aastatel langenud. Tuleb  pingutada, et täita aastaks 2020 seatud eesmärk, suurendada oluliselt avaliku sektori TA investeeringuid ning luua motivatsioonimehhanismid erasektori TA investeeringute kasvuks.</w:t>
      </w:r>
      <w:r w:rsidRPr="006167F5">
        <w:t xml:space="preserve"> </w:t>
      </w:r>
      <w:r>
        <w:t xml:space="preserve">Avaliku sektori ülesanne on luua </w:t>
      </w:r>
      <w:r w:rsidRPr="00DE2587">
        <w:t xml:space="preserve">toetav keskkond, </w:t>
      </w:r>
      <w:r>
        <w:t xml:space="preserve">kus oleks piisavalt </w:t>
      </w:r>
      <w:r w:rsidRPr="00DE2587">
        <w:t>kõrgelt haritud inimesi</w:t>
      </w:r>
      <w:r>
        <w:t xml:space="preserve"> ja</w:t>
      </w:r>
      <w:r w:rsidRPr="00DE2587">
        <w:t xml:space="preserve"> rahvusvahelisi kontakte, atraktii</w:t>
      </w:r>
      <w:r>
        <w:t xml:space="preserve">vne töökeskkond, </w:t>
      </w:r>
      <w:r w:rsidRPr="00DE2587">
        <w:t>hea tasemega kõrgharidus ja teadus</w:t>
      </w:r>
      <w:r>
        <w:t xml:space="preserve">. </w:t>
      </w:r>
      <w:r w:rsidRPr="00B83A51">
        <w:t xml:space="preserve">Põhiline eesseisev </w:t>
      </w:r>
      <w:r w:rsidRPr="00B83A51">
        <w:rPr>
          <w:b/>
        </w:rPr>
        <w:t>väljakutse on ettevõtete innovatsioonivõimekuse kasvatamine</w:t>
      </w:r>
      <w:r w:rsidRPr="00B83A51">
        <w:t xml:space="preserve">. Selleks tuleb </w:t>
      </w:r>
      <w:r w:rsidRPr="00B83A51">
        <w:rPr>
          <w:b/>
        </w:rPr>
        <w:t>soodustada Eestis tegutsevate ettevõtete teadus- ja arendustegevust ning innovatsiooni</w:t>
      </w:r>
      <w:r>
        <w:t>, koostööd ülikoolide, teadusasutuste ja ettevõtete vahel ning</w:t>
      </w:r>
      <w:r w:rsidRPr="00B83A51">
        <w:t xml:space="preserve"> pöörata tähelepanu </w:t>
      </w:r>
      <w:r w:rsidRPr="00B83A51">
        <w:rPr>
          <w:b/>
        </w:rPr>
        <w:t>teadus- ja arendusmahukate välisinvesteeringute</w:t>
      </w:r>
      <w:r w:rsidRPr="00B83A51">
        <w:t xml:space="preserve"> Eestisse toomisel</w:t>
      </w:r>
      <w:r>
        <w:t xml:space="preserve">e. </w:t>
      </w:r>
      <w:r w:rsidRPr="00B83A51">
        <w:t xml:space="preserve">Oluline on </w:t>
      </w:r>
      <w:r>
        <w:rPr>
          <w:b/>
        </w:rPr>
        <w:t xml:space="preserve">toetada süsteemselt nii </w:t>
      </w:r>
      <w:r w:rsidRPr="00B83A51">
        <w:rPr>
          <w:b/>
        </w:rPr>
        <w:t>noori innovaatilisi ettevõtteid</w:t>
      </w:r>
      <w:r>
        <w:t xml:space="preserve"> kui ka TA tegevusi pikaajaliselt tegutsenud ettevõtetes.</w:t>
      </w:r>
    </w:p>
    <w:p w:rsidR="00365D17" w:rsidRPr="00B83A51" w:rsidRDefault="00365D17" w:rsidP="00365D17">
      <w:pPr>
        <w:jc w:val="both"/>
      </w:pPr>
      <w:r w:rsidRPr="00B83A51">
        <w:t xml:space="preserve">  </w:t>
      </w:r>
    </w:p>
    <w:p w:rsidR="00365D17" w:rsidRPr="00B83A51" w:rsidRDefault="00365D17" w:rsidP="00365D17">
      <w:pPr>
        <w:jc w:val="both"/>
      </w:pPr>
      <w:r w:rsidRPr="00B83A51">
        <w:t xml:space="preserve">Kriitilist massi elujõulisi arendustegevusi vajame nii TA ja innovatsiooni „tootmise“ kui ka noorte innovaatiliste ettevõtete toetuse finantsmehhanismide tagamiseks. </w:t>
      </w:r>
      <w:r w:rsidRPr="00B83A51">
        <w:rPr>
          <w:b/>
        </w:rPr>
        <w:t>Nõudluse suurendamine TA ja innovatsiooni väljundite suhtes</w:t>
      </w:r>
      <w:r w:rsidRPr="00B83A51">
        <w:t xml:space="preserve"> on olulise tähtsusega, kuid see ei saa toimuda pelgalt ühe-kahe meetme ellukutsumise näol, vaid vajab terviklahendust, mis arvestaks valdkonna protsesse algusest lõpuni ehk uuringutest ja katsetustest kuni valmislahenduse turustamiseni. Sünergia loomiseks tuleb </w:t>
      </w:r>
      <w:r w:rsidRPr="00B83A51">
        <w:rPr>
          <w:b/>
        </w:rPr>
        <w:t>soodustada teadmiste ja oskuste mobiilsust</w:t>
      </w:r>
      <w:r w:rsidRPr="00B83A51">
        <w:t xml:space="preserve"> ning </w:t>
      </w:r>
      <w:r w:rsidRPr="00B83A51">
        <w:rPr>
          <w:b/>
        </w:rPr>
        <w:t>parandada Eesti kui elukeskkonna atraktiivsust</w:t>
      </w:r>
      <w:r w:rsidRPr="00B83A51">
        <w:t xml:space="preserve">. Vajalik on </w:t>
      </w:r>
      <w:r w:rsidRPr="00B83A51">
        <w:rPr>
          <w:b/>
        </w:rPr>
        <w:t>toetada ja tagada Eesti ettevõtete ligipääs globaalsele riskikapitaliturule</w:t>
      </w:r>
      <w:r w:rsidRPr="00B83A51">
        <w:t>.</w:t>
      </w:r>
    </w:p>
    <w:p w:rsidR="00365D17" w:rsidRPr="00B83A51" w:rsidRDefault="00365D17" w:rsidP="00365D17">
      <w:pPr>
        <w:jc w:val="both"/>
      </w:pPr>
    </w:p>
    <w:p w:rsidR="00365D17" w:rsidRDefault="00365D17" w:rsidP="00365D17">
      <w:pPr>
        <w:autoSpaceDE w:val="0"/>
        <w:autoSpaceDN w:val="0"/>
        <w:adjustRightInd w:val="0"/>
        <w:jc w:val="both"/>
      </w:pPr>
      <w:r w:rsidRPr="00B83A51">
        <w:t>Ettevõtete</w:t>
      </w:r>
      <w:r>
        <w:t xml:space="preserve"> teadus- ja arendusvõimekuse ja</w:t>
      </w:r>
      <w:r w:rsidRPr="00B83A51">
        <w:t xml:space="preserve"> riigi või piirkonna konkurentsivõime näitajates on oluline osa </w:t>
      </w:r>
      <w:r w:rsidRPr="00B83A51">
        <w:rPr>
          <w:b/>
        </w:rPr>
        <w:t>avaliku sektori T&amp;A võimekusel</w:t>
      </w:r>
      <w:r w:rsidRPr="00B83A51">
        <w:t>, sh. ülikoolide tasemel</w:t>
      </w:r>
      <w:r>
        <w:t xml:space="preserve"> </w:t>
      </w:r>
      <w:r w:rsidRPr="00A975EB">
        <w:t>rahvusvahelistes pingeridades,  teadus- ja arendustöö</w:t>
      </w:r>
      <w:r w:rsidRPr="00B83A51">
        <w:t xml:space="preserve"> efektiivsusel</w:t>
      </w:r>
      <w:r>
        <w:t xml:space="preserve"> ning tulemuslikkusel</w:t>
      </w:r>
      <w:r w:rsidRPr="00B83A51">
        <w:t xml:space="preserve">. Avaliku sektori T&amp;A tegevus loob ettevõtlusele vajaliku inimressursi ja annab ka ligipääsu kaasaegsele </w:t>
      </w:r>
      <w:proofErr w:type="spellStart"/>
      <w:r w:rsidRPr="00B83A51">
        <w:t>taristule</w:t>
      </w:r>
      <w:proofErr w:type="spellEnd"/>
      <w:r w:rsidRPr="00B83A51">
        <w:t xml:space="preserve">. Akadeemiline </w:t>
      </w:r>
      <w:r>
        <w:t>tegevus</w:t>
      </w:r>
      <w:r w:rsidRPr="00B83A51">
        <w:t xml:space="preserve"> on oluline lüli inimeste ja teadmiste kodumaisel ning rahvusvahelisel </w:t>
      </w:r>
      <w:proofErr w:type="spellStart"/>
      <w:r w:rsidRPr="00B83A51">
        <w:t>võrgustumisel</w:t>
      </w:r>
      <w:proofErr w:type="spellEnd"/>
      <w:r w:rsidRPr="00B83A51">
        <w:t>, mis on üheks allikaks ettevõtluse innovatsioonivõimekuse tõstmisel ning kõrgema lisandväärtuse saavutamisel.</w:t>
      </w:r>
      <w:r>
        <w:t xml:space="preserve"> </w:t>
      </w:r>
      <w:r w:rsidRPr="00B83A51">
        <w:t xml:space="preserve">Teadus- ja arendustöö ning innovatsioon sõltub tulevikus järjest enam arengutest ELis ning Eesti </w:t>
      </w:r>
      <w:r w:rsidRPr="00B83A51">
        <w:rPr>
          <w:b/>
        </w:rPr>
        <w:t>võimekusest panustada rahvusvahelisse koostöösse</w:t>
      </w:r>
      <w:r>
        <w:rPr>
          <w:b/>
        </w:rPr>
        <w:t>, sh Euroopa teadusruumi raames</w:t>
      </w:r>
      <w:r w:rsidRPr="00A975EB">
        <w:rPr>
          <w:b/>
        </w:rPr>
        <w:t xml:space="preserve"> osalemine EL ühisinitsiatiivides ja -programmides</w:t>
      </w:r>
      <w:r w:rsidRPr="00A975EB">
        <w:t xml:space="preserve">. </w:t>
      </w:r>
    </w:p>
    <w:p w:rsidR="00365D17" w:rsidRPr="00DD2FDD" w:rsidRDefault="00365D17" w:rsidP="00365D17">
      <w:pPr>
        <w:autoSpaceDE w:val="0"/>
        <w:autoSpaceDN w:val="0"/>
        <w:adjustRightInd w:val="0"/>
        <w:jc w:val="both"/>
      </w:pPr>
    </w:p>
    <w:p w:rsidR="00365D17" w:rsidRDefault="00365D17" w:rsidP="00365D17">
      <w:pPr>
        <w:autoSpaceDE w:val="0"/>
        <w:autoSpaceDN w:val="0"/>
        <w:adjustRightInd w:val="0"/>
        <w:jc w:val="both"/>
      </w:pPr>
      <w:r w:rsidRPr="00DD2FDD">
        <w:t>Riigi majanduskasvu ja tööhõive ning</w:t>
      </w:r>
      <w:r>
        <w:t xml:space="preserve"> sotsiaalse heaolu kasv sõltub</w:t>
      </w:r>
      <w:r w:rsidRPr="00DD2FDD">
        <w:t xml:space="preserve"> järjest rohkem kõrghariduse, teaduse ja ettevõtluse omavahelisest läbipõimumisest ja sisulisest koostööst. Innovatsioonisüsteemi tuleb vaadelda kui ühtset tervikut </w:t>
      </w:r>
      <w:r w:rsidRPr="00DD2FDD">
        <w:rPr>
          <w:i/>
        </w:rPr>
        <w:t>(</w:t>
      </w:r>
      <w:proofErr w:type="spellStart"/>
      <w:r w:rsidRPr="00DD2FDD">
        <w:rPr>
          <w:i/>
        </w:rPr>
        <w:t>holistic</w:t>
      </w:r>
      <w:proofErr w:type="spellEnd"/>
      <w:r w:rsidRPr="00DD2FDD">
        <w:rPr>
          <w:i/>
        </w:rPr>
        <w:t xml:space="preserve"> </w:t>
      </w:r>
      <w:proofErr w:type="spellStart"/>
      <w:r w:rsidRPr="00DD2FDD">
        <w:rPr>
          <w:i/>
        </w:rPr>
        <w:t>model</w:t>
      </w:r>
      <w:proofErr w:type="spellEnd"/>
      <w:r w:rsidRPr="00DD2FDD">
        <w:rPr>
          <w:i/>
        </w:rPr>
        <w:t xml:space="preserve"> of </w:t>
      </w:r>
      <w:proofErr w:type="spellStart"/>
      <w:r w:rsidRPr="00DD2FDD">
        <w:rPr>
          <w:i/>
        </w:rPr>
        <w:t>innovation</w:t>
      </w:r>
      <w:proofErr w:type="spellEnd"/>
      <w:r w:rsidRPr="00DD2FDD">
        <w:rPr>
          <w:i/>
        </w:rPr>
        <w:t xml:space="preserve">), </w:t>
      </w:r>
      <w:r w:rsidRPr="00DD2FDD">
        <w:t xml:space="preserve">mille eri osad sõltuvad mitmete komponentide vastastikusest mõjust. Lõppeval rahastamisperioodil pöörati Eestis rohkem tähelepanu üksikute innovatsioonisüsteemi komponentide (TA ja kõrghariduse ehituslik ja aparatuurne infrastruktuur, TA ja innovatsiooni inimressursi ja tugistruktuuride arendamine, rahvusvahelistumine, sh ühinemine rahvusvaheliste infrastruktuuridega) võimekuse arendamisele, milles saavutati ka märgatavat edu, kuigi nähtavus ja sotsiaalmajanduslik mõju jäi ebapiisavaks. Eelseisval perioodil on eesmärkideks loodud potentsiaali efektiivne kasutamine Eesti arengu ja majanduskasvu heaks ning võtmeküsimuseks on just tervikliku innovatsioonisüsteemi efektiivne käivitamine. </w:t>
      </w:r>
    </w:p>
    <w:p w:rsidR="00365D17" w:rsidRDefault="00365D17" w:rsidP="00365D17">
      <w:pPr>
        <w:autoSpaceDE w:val="0"/>
        <w:autoSpaceDN w:val="0"/>
        <w:adjustRightInd w:val="0"/>
        <w:jc w:val="both"/>
      </w:pPr>
    </w:p>
    <w:p w:rsidR="00365D17" w:rsidRDefault="00365D17" w:rsidP="00365D17">
      <w:pPr>
        <w:autoSpaceDE w:val="0"/>
        <w:autoSpaceDN w:val="0"/>
        <w:adjustRightInd w:val="0"/>
        <w:jc w:val="both"/>
      </w:pPr>
      <w:r w:rsidRPr="00DD2FDD">
        <w:t xml:space="preserve">Riigikogu poolt 2014.a jaanuaris heaks kiidetud </w:t>
      </w:r>
      <w:r>
        <w:t>järjekorras kolmanda</w:t>
      </w:r>
      <w:r w:rsidRPr="00DD2FDD">
        <w:t xml:space="preserve"> Teadus- ja Arendustegevus</w:t>
      </w:r>
      <w:r>
        <w:t>e ning Innovatsiooni strateegia</w:t>
      </w:r>
      <w:r w:rsidRPr="00DD2FDD">
        <w:t xml:space="preserve"> 2014-2020 „Teadmistepõhine Eesti“ üldeesmärk on luua soodsad tingimused tootlikkuse ja elatustaseme kasvuks, heaks hariduseks ja kultuuriks, Eesti kestmiseks ja arenguks. Strateegia on heas kooskõlas nii EU 2020 reformikava kui Euroopa Teadusruumi prioriteetidega. </w:t>
      </w:r>
    </w:p>
    <w:p w:rsidR="00365D17" w:rsidRDefault="00365D17" w:rsidP="00365D17">
      <w:pPr>
        <w:autoSpaceDE w:val="0"/>
        <w:autoSpaceDN w:val="0"/>
        <w:adjustRightInd w:val="0"/>
        <w:jc w:val="both"/>
      </w:pPr>
    </w:p>
    <w:p w:rsidR="00365D17" w:rsidRDefault="00365D17" w:rsidP="00365D17">
      <w:pPr>
        <w:autoSpaceDE w:val="0"/>
        <w:autoSpaceDN w:val="0"/>
        <w:adjustRightInd w:val="0"/>
        <w:jc w:val="both"/>
      </w:pPr>
      <w:r w:rsidRPr="00DD2FDD">
        <w:lastRenderedPageBreak/>
        <w:t>Et vähendada juhtivate ja arenevate majanduste vahelist innovatsioonilõhet</w:t>
      </w:r>
      <w:r>
        <w:t>,</w:t>
      </w:r>
      <w:r w:rsidRPr="00DD2FDD">
        <w:t xml:space="preserve"> astub Eesti hädavajalikke samme saamaks osa </w:t>
      </w:r>
      <w:r w:rsidRPr="00DD2FDD">
        <w:rPr>
          <w:iCs/>
        </w:rPr>
        <w:t xml:space="preserve">maailmale avatud Euroopa Teadusruumist, kus teadlased, teaduslik teave ja tehnoloogia vabalt liiguvad ning mille kaudu liit ja liikmesriigid tugevdavad oma teaduslikku ja tehnoloogilist baasi, konkurentsivõimet ja võimet üheskoos lahendada suuri probleeme. </w:t>
      </w:r>
      <w:r>
        <w:rPr>
          <w:iCs/>
        </w:rPr>
        <w:t>Olles osa Euroopa Teadusruumist, panustab ka Eesti selle ülesehitamisse</w:t>
      </w:r>
      <w:r w:rsidRPr="002F5D63">
        <w:rPr>
          <w:iCs/>
        </w:rPr>
        <w:t xml:space="preserve"> oma </w:t>
      </w:r>
      <w:r>
        <w:rPr>
          <w:iCs/>
        </w:rPr>
        <w:t>riikliku teadus- ja innovatsioonisüsteemi tugevdamise kaudu. EL teadusministrid on leppinud kokku, et</w:t>
      </w:r>
      <w:r w:rsidRPr="002F5D63">
        <w:rPr>
          <w:iCs/>
        </w:rPr>
        <w:t xml:space="preserve"> </w:t>
      </w:r>
      <w:r>
        <w:rPr>
          <w:iCs/>
        </w:rPr>
        <w:t xml:space="preserve">riigid peavad looma riiklikud tegevuskavad Euroopa Teadusruumi eesmärkide täitmiseks - </w:t>
      </w:r>
      <w:r w:rsidRPr="002F5D63">
        <w:rPr>
          <w:iCs/>
        </w:rPr>
        <w:t xml:space="preserve">Eesti </w:t>
      </w:r>
      <w:r>
        <w:rPr>
          <w:iCs/>
        </w:rPr>
        <w:t xml:space="preserve">tegevuskava kinnitatakse TAI </w:t>
      </w:r>
      <w:r w:rsidRPr="002F5D63">
        <w:rPr>
          <w:iCs/>
        </w:rPr>
        <w:t xml:space="preserve">rakendusplaani </w:t>
      </w:r>
      <w:r>
        <w:rPr>
          <w:iCs/>
        </w:rPr>
        <w:t>koosseisus</w:t>
      </w:r>
      <w:r w:rsidRPr="002F5D63">
        <w:rPr>
          <w:iCs/>
        </w:rPr>
        <w:t xml:space="preserve">. </w:t>
      </w:r>
      <w:r w:rsidRPr="00DD2FDD">
        <w:t xml:space="preserve">Lisaks teadus- ja innovatsioonisüsteemi arendamisele osaletakse riikideüleses koostöös, sh Läänemere strateegia raames, avatud tööturu tagamiseks kohandatakse õiguslikku raamistikku teadlaste liikuvust, koolitamist ja karjäärivõimalusi takistavate tõkete kõrvaldamiseks ning teaduslike teadmiste rakendamiseks vajaliku  juurdepääsu ning tehnoloogiate siirde tagamiseks. </w:t>
      </w:r>
    </w:p>
    <w:p w:rsidR="00365D17" w:rsidRDefault="00365D17" w:rsidP="00365D17">
      <w:pPr>
        <w:jc w:val="both"/>
      </w:pPr>
    </w:p>
    <w:p w:rsidR="00365D17" w:rsidRDefault="00365D17" w:rsidP="00365D17">
      <w:pPr>
        <w:jc w:val="both"/>
      </w:pPr>
      <w:r>
        <w:t xml:space="preserve">Et Eesti positsioon rahvusvahelises T&amp;A süsteemis (ja panus Euroopa Teadusruumi arengusse) ei langeks, on vajalik T&amp;A ja innovatsioonisüsteemi tasakaalustatud areng. T&amp;A süsteemi võimekuse tõstmiseks tuleb lõpule viia teadussüsteemi reform. See tähendab struktuurivahendite ja riigieelarveliste ressursside läbimõeldud ja efektiivset kasutamist teadus- ja arendustegevuste investeeringute rahastamisel </w:t>
      </w:r>
      <w:r w:rsidRPr="00A975EB">
        <w:t xml:space="preserve">ning struktuurivahendite perioodi lõppemise eel </w:t>
      </w:r>
      <w:r w:rsidRPr="00F65286">
        <w:t>otstarbeka väljumisstrateegia rakendamist</w:t>
      </w:r>
      <w:r w:rsidRPr="00E41BE0">
        <w:t xml:space="preserve"> </w:t>
      </w:r>
      <w:r w:rsidRPr="00A975EB">
        <w:t>jätkuva</w:t>
      </w:r>
      <w:r>
        <w:t>tele</w:t>
      </w:r>
      <w:r w:rsidRPr="00A975EB">
        <w:t xml:space="preserve"> tegevus</w:t>
      </w:r>
      <w:r>
        <w:t xml:space="preserve">tele. </w:t>
      </w:r>
    </w:p>
    <w:p w:rsidR="00365D17" w:rsidRDefault="00365D17" w:rsidP="00365D17">
      <w:pPr>
        <w:jc w:val="both"/>
      </w:pPr>
    </w:p>
    <w:p w:rsidR="00365D17" w:rsidRDefault="00365D17" w:rsidP="00365D17">
      <w:pPr>
        <w:jc w:val="both"/>
      </w:pPr>
      <w:r>
        <w:t xml:space="preserve">Tarvilike meetmetena tuleb rakendada ettevõtete vajadusi diagnoosivaid meetmeid, mis selgitaksid välja võimalused ettevõtte konkurentsivõime tõstmiseks parimal viisil. </w:t>
      </w:r>
      <w:r>
        <w:rPr>
          <w:b/>
        </w:rPr>
        <w:t>V</w:t>
      </w:r>
      <w:r w:rsidRPr="00980C05">
        <w:rPr>
          <w:b/>
        </w:rPr>
        <w:t xml:space="preserve">ajadusel </w:t>
      </w:r>
      <w:r>
        <w:rPr>
          <w:b/>
        </w:rPr>
        <w:t xml:space="preserve">tuleb </w:t>
      </w:r>
      <w:r w:rsidRPr="00980C05">
        <w:rPr>
          <w:b/>
        </w:rPr>
        <w:t>muuta riigihangete regulatsioon</w:t>
      </w:r>
      <w:r>
        <w:rPr>
          <w:b/>
        </w:rPr>
        <w:t xml:space="preserve">i, </w:t>
      </w:r>
      <w:r w:rsidRPr="00EB5E0C">
        <w:t xml:space="preserve">et see muutuks </w:t>
      </w:r>
      <w:r>
        <w:t xml:space="preserve">riigile oluliste valdkondade (innovatsioon, ressursisääst, disain, loomemajandus, kosmosetehnoloogiad, </w:t>
      </w:r>
      <w:r w:rsidRPr="006363E9">
        <w:t>kohalik</w:t>
      </w:r>
      <w:r>
        <w:t>u</w:t>
      </w:r>
      <w:r w:rsidRPr="006363E9">
        <w:t xml:space="preserve"> ressurss</w:t>
      </w:r>
      <w:r>
        <w:t>i</w:t>
      </w:r>
      <w:r w:rsidRPr="006363E9">
        <w:t xml:space="preserve"> lisandväärtus</w:t>
      </w:r>
      <w:r>
        <w:t xml:space="preserve">) arengu üheks veduriks. Tuleb analüüsida ettevõtluse tugistruktuuride rahastamisvajadusi ja mõistlikku korraldust, arendada  </w:t>
      </w:r>
      <w:r>
        <w:rPr>
          <w:b/>
        </w:rPr>
        <w:t xml:space="preserve">teadus- ja arendustegevuse </w:t>
      </w:r>
      <w:r w:rsidRPr="00980C05">
        <w:rPr>
          <w:b/>
        </w:rPr>
        <w:t xml:space="preserve"> tulemuslikkuse hindamise metoodika</w:t>
      </w:r>
      <w:r>
        <w:rPr>
          <w:b/>
        </w:rPr>
        <w:t>t</w:t>
      </w:r>
      <w:r>
        <w:t>,</w:t>
      </w:r>
      <w:r w:rsidRPr="006167F5">
        <w:t xml:space="preserve"> </w:t>
      </w:r>
      <w:r w:rsidRPr="004C4087">
        <w:t>sh väärtustada teadlaskarjääris töötamist erasektoris</w:t>
      </w:r>
      <w:r>
        <w:t xml:space="preserve">, luua ettevõtjatele suunatud </w:t>
      </w:r>
      <w:r w:rsidRPr="00980C05">
        <w:rPr>
          <w:b/>
        </w:rPr>
        <w:t xml:space="preserve">TA </w:t>
      </w:r>
      <w:proofErr w:type="spellStart"/>
      <w:r>
        <w:rPr>
          <w:b/>
        </w:rPr>
        <w:t>taristu</w:t>
      </w:r>
      <w:proofErr w:type="spellEnd"/>
      <w:r w:rsidRPr="00980C05">
        <w:rPr>
          <w:b/>
        </w:rPr>
        <w:t xml:space="preserve"> kasutamist</w:t>
      </w:r>
      <w:r>
        <w:t xml:space="preserve"> soodustavaid ning </w:t>
      </w:r>
      <w:r w:rsidRPr="00EB5E0C">
        <w:rPr>
          <w:b/>
        </w:rPr>
        <w:t xml:space="preserve">teaduse </w:t>
      </w:r>
      <w:r>
        <w:rPr>
          <w:b/>
        </w:rPr>
        <w:t>ja</w:t>
      </w:r>
      <w:r w:rsidRPr="00EB5E0C">
        <w:rPr>
          <w:b/>
        </w:rPr>
        <w:t xml:space="preserve"> ettevõt</w:t>
      </w:r>
      <w:r>
        <w:rPr>
          <w:b/>
        </w:rPr>
        <w:t>ete</w:t>
      </w:r>
      <w:r w:rsidRPr="00EB5E0C">
        <w:rPr>
          <w:b/>
        </w:rPr>
        <w:t xml:space="preserve"> vahelise koostöö tugevdamise</w:t>
      </w:r>
      <w:r>
        <w:t xml:space="preserve"> meetmeid. Kasvuambitsiooniga ettevõtetele tuleks tagada nii nõustamisalane kui finantsiline terviklik toetuskeskkond. </w:t>
      </w:r>
    </w:p>
    <w:p w:rsidR="00365D17" w:rsidRDefault="00365D17" w:rsidP="00EA0F4A">
      <w:pPr>
        <w:jc w:val="both"/>
      </w:pPr>
    </w:p>
    <w:p w:rsidR="00DE7228" w:rsidRPr="00B83A51" w:rsidRDefault="00DE7228" w:rsidP="00DE7228">
      <w:pPr>
        <w:jc w:val="both"/>
        <w:rPr>
          <w:b/>
        </w:rPr>
      </w:pPr>
    </w:p>
    <w:p w:rsidR="00DE7228" w:rsidRPr="00B83A51" w:rsidRDefault="00220ABA" w:rsidP="00DE7228">
      <w:pPr>
        <w:shd w:val="clear" w:color="auto" w:fill="CCCCCC"/>
        <w:jc w:val="both"/>
        <w:rPr>
          <w:b/>
        </w:rPr>
      </w:pPr>
      <w:r>
        <w:rPr>
          <w:b/>
        </w:rPr>
        <w:t>9</w:t>
      </w:r>
      <w:r w:rsidR="00DE7228" w:rsidRPr="00B83A51">
        <w:rPr>
          <w:b/>
        </w:rPr>
        <w:t xml:space="preserve">. Loomemajanduse, IKT ja teiste võtmetehnoloogiate potentsiaali laiem kasutamine teiste sektorite lisandväärtuse tõstmisel. </w:t>
      </w:r>
    </w:p>
    <w:p w:rsidR="00DE7228" w:rsidRPr="00B83A51" w:rsidRDefault="00DE7228" w:rsidP="00DE7228">
      <w:pPr>
        <w:jc w:val="both"/>
      </w:pPr>
    </w:p>
    <w:p w:rsidR="00EA0F4A" w:rsidRPr="00B83A51" w:rsidRDefault="00EA0F4A" w:rsidP="00EA0F4A">
      <w:pPr>
        <w:jc w:val="both"/>
        <w:rPr>
          <w:bCs/>
        </w:rPr>
      </w:pPr>
      <w:r w:rsidRPr="00B83A51">
        <w:rPr>
          <w:bCs/>
        </w:rPr>
        <w:t xml:space="preserve">Loomemajanduse, IKT ja võtmetehnoloogiate potentsiaali suuremaks kasutamiseks tulevikus on vajalik </w:t>
      </w:r>
      <w:r w:rsidRPr="00B83A51">
        <w:rPr>
          <w:b/>
          <w:bCs/>
        </w:rPr>
        <w:t>soodustada valdkondi integreerivaid tegevusi väljaõppe ja rahvusvahelistumise valdkondades, aga ka rahastamises.</w:t>
      </w:r>
      <w:r w:rsidRPr="00B83A51">
        <w:rPr>
          <w:bCs/>
        </w:rPr>
        <w:t xml:space="preserve"> Täiendava lisandväärtuse loomiseks valdkondade koostoimest tuleb pöörata </w:t>
      </w:r>
      <w:r w:rsidRPr="00B83A51">
        <w:rPr>
          <w:b/>
          <w:bCs/>
        </w:rPr>
        <w:t>tähelepanu inimkapitali võimekuse tõstmisele</w:t>
      </w:r>
      <w:r w:rsidRPr="00B83A51">
        <w:rPr>
          <w:bCs/>
        </w:rPr>
        <w:t xml:space="preserve"> kõige laiemas tähenduses. Edukate koostööplatvormide loomine eeldab valdkondade eripärasid arvestada oskavate inimeste ning </w:t>
      </w:r>
      <w:r w:rsidRPr="00B83A51">
        <w:rPr>
          <w:b/>
          <w:bCs/>
        </w:rPr>
        <w:t>soodsa keskkonna olemasolu</w:t>
      </w:r>
      <w:r w:rsidRPr="00B83A51">
        <w:rPr>
          <w:bCs/>
        </w:rPr>
        <w:t xml:space="preserve">. IKT ja teiste võtmetehnoloogiate </w:t>
      </w:r>
      <w:r w:rsidR="003E3E0D">
        <w:rPr>
          <w:bCs/>
        </w:rPr>
        <w:t xml:space="preserve">ning loomesektori </w:t>
      </w:r>
      <w:r w:rsidRPr="00B83A51">
        <w:rPr>
          <w:bCs/>
        </w:rPr>
        <w:t xml:space="preserve">kui horisontaalsete </w:t>
      </w:r>
      <w:r w:rsidRPr="00B83A51">
        <w:rPr>
          <w:b/>
          <w:bCs/>
        </w:rPr>
        <w:t>valdkondade kasutamine teiste valdkondade protsesside parandamiseks</w:t>
      </w:r>
      <w:r w:rsidRPr="00B83A51">
        <w:rPr>
          <w:bCs/>
        </w:rPr>
        <w:t xml:space="preserve"> või uute algatuste loomiseks </w:t>
      </w:r>
      <w:r w:rsidRPr="00B83A51">
        <w:rPr>
          <w:b/>
          <w:bCs/>
        </w:rPr>
        <w:t>vajab</w:t>
      </w:r>
      <w:r w:rsidRPr="00B83A51">
        <w:rPr>
          <w:bCs/>
        </w:rPr>
        <w:t xml:space="preserve"> uuele tasemele viimiseks </w:t>
      </w:r>
      <w:r w:rsidR="001600C0">
        <w:rPr>
          <w:bCs/>
        </w:rPr>
        <w:t>valdkondadevahelist kasutuselevõttu toetavaid meetmeid</w:t>
      </w:r>
      <w:r w:rsidRPr="00B83A51">
        <w:rPr>
          <w:bCs/>
        </w:rPr>
        <w:t>.</w:t>
      </w:r>
    </w:p>
    <w:p w:rsidR="00EA0F4A" w:rsidRDefault="00EA0F4A" w:rsidP="00EA0F4A">
      <w:pPr>
        <w:jc w:val="both"/>
      </w:pPr>
    </w:p>
    <w:p w:rsidR="003E3E0D" w:rsidRPr="00D74E84" w:rsidRDefault="003E3E0D" w:rsidP="003E3E0D">
      <w:pPr>
        <w:jc w:val="both"/>
      </w:pPr>
      <w:r>
        <w:t xml:space="preserve">Meetmetena tuleb jätkuvalt suunata loomettevõtluse tugistruktuuride arengut, täiustada välja töötatud loomemajanduse ettevõtetele sihitud </w:t>
      </w:r>
      <w:r>
        <w:rPr>
          <w:b/>
          <w:bCs/>
        </w:rPr>
        <w:t xml:space="preserve">ekspordivõime arendamise meedet, </w:t>
      </w:r>
      <w:r>
        <w:t xml:space="preserve">soodustada loomeettevõtjate koostööd teiste sektoritega, rakendada meetmeid </w:t>
      </w:r>
      <w:r>
        <w:rPr>
          <w:b/>
          <w:bCs/>
        </w:rPr>
        <w:t>ettevõtjate, loomeinimeste ja</w:t>
      </w:r>
      <w:r>
        <w:t xml:space="preserve"> </w:t>
      </w:r>
      <w:r>
        <w:rPr>
          <w:b/>
          <w:bCs/>
        </w:rPr>
        <w:t>IKT ning teiste valdkonna esindajate koostöö soodustamiseks</w:t>
      </w:r>
      <w:r>
        <w:t xml:space="preserve">, viia ellu </w:t>
      </w:r>
      <w:r>
        <w:lastRenderedPageBreak/>
        <w:t xml:space="preserve">tegevused </w:t>
      </w:r>
      <w:r w:rsidRPr="00EC1B8A">
        <w:rPr>
          <w:b/>
          <w:bCs/>
        </w:rPr>
        <w:t>loomemajandusalase teadlikkuse ja teadmiste ning oskuste arendamise</w:t>
      </w:r>
      <w:r>
        <w:rPr>
          <w:b/>
          <w:bCs/>
        </w:rPr>
        <w:t>ks</w:t>
      </w:r>
      <w:r>
        <w:t xml:space="preserve">. </w:t>
      </w:r>
      <w:r w:rsidRPr="008E7774">
        <w:t xml:space="preserve">Toetada Eesti </w:t>
      </w:r>
      <w:r>
        <w:t xml:space="preserve">teadus- ja arendusasutuste </w:t>
      </w:r>
      <w:r w:rsidRPr="008E7774">
        <w:t>osalemist Horisont</w:t>
      </w:r>
      <w:r>
        <w:t xml:space="preserve"> </w:t>
      </w:r>
      <w:r w:rsidRPr="008E7774">
        <w:t>2020 teadus</w:t>
      </w:r>
      <w:r>
        <w:t xml:space="preserve">koostöö </w:t>
      </w:r>
      <w:r w:rsidRPr="008E7774">
        <w:t>projektides</w:t>
      </w:r>
      <w:r>
        <w:t xml:space="preserve">, sh. </w:t>
      </w:r>
      <w:proofErr w:type="spellStart"/>
      <w:r w:rsidRPr="008E7774">
        <w:rPr>
          <w:i/>
        </w:rPr>
        <w:t>teaming</w:t>
      </w:r>
      <w:r>
        <w:rPr>
          <w:i/>
        </w:rPr>
        <w:t>-</w:t>
      </w:r>
      <w:r w:rsidRPr="008E7774">
        <w:rPr>
          <w:i/>
        </w:rPr>
        <w:t>us</w:t>
      </w:r>
      <w:proofErr w:type="spellEnd"/>
      <w:r w:rsidRPr="008E7774">
        <w:t>.</w:t>
      </w:r>
      <w:r>
        <w:rPr>
          <w:i/>
        </w:rPr>
        <w:t xml:space="preserve"> </w:t>
      </w:r>
      <w:r>
        <w:t xml:space="preserve">Luua fookusvaldkondade suuremaks sidustamiseks </w:t>
      </w:r>
      <w:r>
        <w:rPr>
          <w:b/>
          <w:bCs/>
        </w:rPr>
        <w:t>IKTga</w:t>
      </w:r>
      <w:r>
        <w:t xml:space="preserve"> </w:t>
      </w:r>
      <w:r>
        <w:rPr>
          <w:b/>
          <w:bCs/>
        </w:rPr>
        <w:t xml:space="preserve">alastrateegiad </w:t>
      </w:r>
      <w:r>
        <w:t xml:space="preserve">ning </w:t>
      </w:r>
      <w:r>
        <w:rPr>
          <w:b/>
          <w:bCs/>
        </w:rPr>
        <w:t>meede teenusmajanduse ettevõtete arendamiseks</w:t>
      </w:r>
      <w:r>
        <w:t>, sealhulgas ka tervishoiuteenuste ekspordi potentsiaali arendamiseks.</w:t>
      </w:r>
    </w:p>
    <w:p w:rsidR="00570793" w:rsidRDefault="00570793" w:rsidP="00EA0F4A">
      <w:pPr>
        <w:jc w:val="both"/>
      </w:pPr>
    </w:p>
    <w:p w:rsidR="00DE7228" w:rsidRPr="00B83A51" w:rsidRDefault="00220ABA" w:rsidP="00DE7228">
      <w:pPr>
        <w:shd w:val="clear" w:color="auto" w:fill="CCCCCC"/>
        <w:jc w:val="both"/>
      </w:pPr>
      <w:r>
        <w:rPr>
          <w:b/>
        </w:rPr>
        <w:t>10</w:t>
      </w:r>
      <w:r w:rsidR="00DE7228" w:rsidRPr="00B83A51">
        <w:rPr>
          <w:b/>
        </w:rPr>
        <w:t xml:space="preserve">. Teaduse inimressursi arendamine ning inseneride ja tippspetsialistide juurdekasvu tagamine. </w:t>
      </w:r>
    </w:p>
    <w:p w:rsidR="00DE7228" w:rsidRPr="00B83A51" w:rsidRDefault="00DE7228" w:rsidP="00DE7228">
      <w:pPr>
        <w:jc w:val="both"/>
      </w:pPr>
    </w:p>
    <w:p w:rsidR="00E37595" w:rsidRDefault="00E37595" w:rsidP="00E37595">
      <w:pPr>
        <w:jc w:val="both"/>
      </w:pPr>
      <w:r w:rsidRPr="0026255C">
        <w:rPr>
          <w:b/>
        </w:rPr>
        <w:t>Teadlaste ja tippspetsialistide juurdekasv</w:t>
      </w:r>
      <w:r w:rsidRPr="00A975EB">
        <w:t xml:space="preserve"> sõltub paljuski </w:t>
      </w:r>
      <w:r>
        <w:t xml:space="preserve">doktoriõppe kvaliteedist ja </w:t>
      </w:r>
      <w:r w:rsidRPr="00291F60">
        <w:t xml:space="preserve">doktoriõppesse astunute ja selle edukalt lõpetanute hulgast. </w:t>
      </w:r>
      <w:r w:rsidRPr="002B683C">
        <w:t xml:space="preserve">Kuigi doktoriõppe </w:t>
      </w:r>
      <w:r>
        <w:t>korralduses</w:t>
      </w:r>
      <w:r w:rsidRPr="002B683C">
        <w:t xml:space="preserve"> on tehtud pea igal viimasel aastal muudatusi, on endiselt probleemiks doktoriõppe madal efektiivsus ja lõpetajate arv (võrreldes eesmärkide</w:t>
      </w:r>
      <w:r>
        <w:t>ga</w:t>
      </w:r>
      <w:r w:rsidRPr="002B683C">
        <w:t xml:space="preserve"> ja ülikoolidega eelnevalt kokku lepituga)</w:t>
      </w:r>
      <w:r>
        <w:t>.</w:t>
      </w:r>
      <w:r w:rsidRPr="002B683C">
        <w:t xml:space="preserve"> </w:t>
      </w:r>
      <w:r>
        <w:t>Selle</w:t>
      </w:r>
      <w:r w:rsidRPr="002B683C">
        <w:t xml:space="preserve"> põhjus</w:t>
      </w:r>
      <w:r>
        <w:t>eks</w:t>
      </w:r>
      <w:r w:rsidRPr="002B683C">
        <w:t xml:space="preserve"> </w:t>
      </w:r>
      <w:r>
        <w:t>on ühelt poolt doktorantide</w:t>
      </w:r>
      <w:r w:rsidRPr="002B683C">
        <w:t xml:space="preserve"> ebakindel sissetulek</w:t>
      </w:r>
      <w:r>
        <w:t xml:space="preserve"> - doktoranditoetus on võrreldes keskmise palgaga või magistrikraadiga töötajate palgaga oluliselt madalam ning ülikoolide võimekus doktorante kaasata teadustöösse nooremteaduritena koos ootustele vastava palgaga on rahaliselt piiratud. Teisalt on</w:t>
      </w:r>
      <w:r w:rsidRPr="002B683C">
        <w:t xml:space="preserve"> </w:t>
      </w:r>
      <w:r>
        <w:t xml:space="preserve">küsimus </w:t>
      </w:r>
      <w:r w:rsidRPr="002B683C">
        <w:t>õpingute kvalitee</w:t>
      </w:r>
      <w:r>
        <w:t xml:space="preserve">dis ja </w:t>
      </w:r>
      <w:r w:rsidRPr="002B683C">
        <w:t>vastavus</w:t>
      </w:r>
      <w:r>
        <w:t>es</w:t>
      </w:r>
      <w:r w:rsidRPr="002B683C">
        <w:t xml:space="preserve"> ühiskonna ootustele. </w:t>
      </w:r>
    </w:p>
    <w:p w:rsidR="00205C18" w:rsidRDefault="00205C18" w:rsidP="00E37595">
      <w:pPr>
        <w:jc w:val="both"/>
      </w:pPr>
    </w:p>
    <w:p w:rsidR="00387E53" w:rsidRDefault="00387E53" w:rsidP="00387E53">
      <w:pPr>
        <w:jc w:val="both"/>
      </w:pPr>
      <w:r>
        <w:t>N</w:t>
      </w:r>
      <w:r w:rsidRPr="004119A8">
        <w:t>oore teadlase karjäärisüsteemi loomisel</w:t>
      </w:r>
      <w:r>
        <w:t xml:space="preserve"> oli oluliseks sammuks seadusemuudatus, mis võimaldab</w:t>
      </w:r>
      <w:r w:rsidRPr="004119A8">
        <w:t xml:space="preserve"> sõlmida doktorandiga töölepingu töötamiseks teadlase am</w:t>
      </w:r>
      <w:r>
        <w:t xml:space="preserve">etipositsioonil nooremteadurina, tagades </w:t>
      </w:r>
      <w:r w:rsidRPr="004119A8">
        <w:t xml:space="preserve">samad sotsiaalsed garantiid nagu tavapärase </w:t>
      </w:r>
      <w:r>
        <w:t>töölepinguga</w:t>
      </w:r>
      <w:r w:rsidRPr="004119A8">
        <w:t xml:space="preserve">. Eesmärgiks </w:t>
      </w:r>
      <w:r>
        <w:t xml:space="preserve">on </w:t>
      </w:r>
      <w:r w:rsidRPr="004119A8">
        <w:t>olnud doktoriõppe atraktiivsuse tõstmine ja võimalus tunnustada doktorante kui noori teadlasi, mitte üksnes kui üliõpilasi, ja soodustada nende teadustööle pühendumist. Riigi sihtotstarbeline rahastus on taganud nooremteaduri kohad üksikutele doktorantidele</w:t>
      </w:r>
      <w:r>
        <w:t xml:space="preserve"> ja meede pole siiski loodetud määral rakendunud.</w:t>
      </w:r>
      <w:r w:rsidRPr="004119A8">
        <w:t xml:space="preserve"> Kuigi doktoranditoetuse määr jääb ootustele alla ja pärsib doktoriõppele vajalikku pühendumist, tagab riik alates 1. septembrist 2015.a toetuse saajate</w:t>
      </w:r>
      <w:r>
        <w:t>le</w:t>
      </w:r>
      <w:r w:rsidRPr="004119A8">
        <w:t xml:space="preserve"> </w:t>
      </w:r>
      <w:r w:rsidRPr="004119A8">
        <w:rPr>
          <w:b/>
        </w:rPr>
        <w:t>senisest laiemad sotsiaalsed garantiid</w:t>
      </w:r>
      <w:r w:rsidRPr="004119A8">
        <w:t xml:space="preserve"> </w:t>
      </w:r>
      <w:r>
        <w:t xml:space="preserve">- </w:t>
      </w:r>
      <w:r w:rsidRPr="004119A8">
        <w:t>maksed pensionifondi ja toetus võetakse arvesse vanemahüvitise arvestamisel.</w:t>
      </w:r>
    </w:p>
    <w:p w:rsidR="00E37595" w:rsidRDefault="00E37595" w:rsidP="00E37595">
      <w:pPr>
        <w:jc w:val="both"/>
      </w:pPr>
    </w:p>
    <w:p w:rsidR="00E37595" w:rsidRPr="00B83A51" w:rsidRDefault="00E37595" w:rsidP="00E37595">
      <w:pPr>
        <w:jc w:val="both"/>
      </w:pPr>
      <w:r w:rsidRPr="00B83A51">
        <w:t xml:space="preserve">Lisaks </w:t>
      </w:r>
      <w:r>
        <w:t xml:space="preserve">doktorantide sissetuleku tõstmisele </w:t>
      </w:r>
      <w:r w:rsidRPr="00B83A51">
        <w:t xml:space="preserve">on vajalik </w:t>
      </w:r>
      <w:r w:rsidRPr="00B83A51">
        <w:rPr>
          <w:b/>
        </w:rPr>
        <w:t xml:space="preserve">rakendada täiendavaid meetmeid </w:t>
      </w:r>
      <w:r>
        <w:rPr>
          <w:b/>
        </w:rPr>
        <w:t>doktoriõppe kvaliteedi tõstmiseks (sh läbi rahvusvahelistumise),</w:t>
      </w:r>
      <w:r w:rsidRPr="002B683C">
        <w:rPr>
          <w:b/>
        </w:rPr>
        <w:t xml:space="preserve"> </w:t>
      </w:r>
      <w:r w:rsidRPr="00B83A51">
        <w:rPr>
          <w:b/>
        </w:rPr>
        <w:t xml:space="preserve">doktorantide </w:t>
      </w:r>
      <w:r>
        <w:rPr>
          <w:b/>
        </w:rPr>
        <w:t xml:space="preserve">ja juhendajate valiku parandamiseks </w:t>
      </w:r>
      <w:r w:rsidRPr="00B83A51">
        <w:rPr>
          <w:b/>
        </w:rPr>
        <w:t xml:space="preserve">ja </w:t>
      </w:r>
      <w:r>
        <w:rPr>
          <w:b/>
        </w:rPr>
        <w:t xml:space="preserve">õpingute </w:t>
      </w:r>
      <w:r w:rsidRPr="00B83A51">
        <w:rPr>
          <w:b/>
        </w:rPr>
        <w:t>edukaks lõpetamiseks.</w:t>
      </w:r>
      <w:r w:rsidRPr="00B83A51">
        <w:t xml:space="preserve"> Doktorite kiiremaks lõpetamiseks on vajalik jätkuvalt toetada doktorikoolide ja teaduse tippkeskuste tegevust</w:t>
      </w:r>
      <w:r>
        <w:t>, aga ka doktorantide rahvusvahelise ja sektorite ülese koostöö võimalusi</w:t>
      </w:r>
      <w:r w:rsidRPr="00B83A51">
        <w:t xml:space="preserve">. </w:t>
      </w:r>
    </w:p>
    <w:p w:rsidR="00E37595" w:rsidRPr="00B83A51" w:rsidRDefault="00E37595" w:rsidP="00E37595">
      <w:pPr>
        <w:jc w:val="both"/>
      </w:pPr>
    </w:p>
    <w:p w:rsidR="00E37595" w:rsidRDefault="00E37595" w:rsidP="00E37595">
      <w:pPr>
        <w:jc w:val="both"/>
      </w:pPr>
      <w:r w:rsidRPr="00B83A51">
        <w:t>Edasiarendamist vajab teadustööde juhendamise korraldus ülikoolides ning võimekate juhendajate arvu suurendamine. Üh</w:t>
      </w:r>
      <w:r>
        <w:t>eks potentsiaalseks juhendajate</w:t>
      </w:r>
      <w:r w:rsidRPr="00B83A51">
        <w:t xml:space="preserve"> kasvulavaks võiks</w:t>
      </w:r>
      <w:r>
        <w:t>id</w:t>
      </w:r>
      <w:r w:rsidRPr="00B83A51">
        <w:t xml:space="preserve"> olla välisõppejõudude </w:t>
      </w:r>
      <w:r>
        <w:t xml:space="preserve">ja –teadlaste </w:t>
      </w:r>
      <w:r w:rsidRPr="00B83A51">
        <w:t xml:space="preserve">osalusel Eestis loodavad uurimisrühmad, mis koondaksid olemasolevaid kompetentse. </w:t>
      </w:r>
      <w:r w:rsidRPr="00FB4DB7">
        <w:t xml:space="preserve">Kõrgelt kvalifitseeritud </w:t>
      </w:r>
      <w:r w:rsidRPr="00E36698">
        <w:rPr>
          <w:b/>
        </w:rPr>
        <w:t>välisõppejõudude ja teadlaste Eestisse</w:t>
      </w:r>
      <w:r w:rsidRPr="00FB4DB7">
        <w:t xml:space="preserve"> asumise</w:t>
      </w:r>
      <w:r>
        <w:t xml:space="preserve">l on sageli </w:t>
      </w:r>
      <w:r w:rsidRPr="00FB4DB7">
        <w:t xml:space="preserve">takistuseks olnud nii palgad, mis ei ole rahvusvaheliselt konkurentsivõimelised, kui ka muud kandidaatide ringi piiravad reeglid. </w:t>
      </w:r>
      <w:r>
        <w:t>V</w:t>
      </w:r>
      <w:r w:rsidRPr="00FB4DB7">
        <w:t xml:space="preserve">ältida </w:t>
      </w:r>
      <w:r>
        <w:t xml:space="preserve">tuleks </w:t>
      </w:r>
      <w:r w:rsidRPr="00FB4DB7">
        <w:t xml:space="preserve">põhjendamata keelenõuete ja muude piirangute kehtestamist rahvusvaheliselt avatud konkurssidel teadustöötajate ametikohtade täitmiseks. </w:t>
      </w:r>
      <w:r>
        <w:t>Samuti tuleb luua toetav elukeskkond välisspetsialistide Eestisse tulemiseks koos peredega (rahvusvaheline haridus jm pereelu toetavad teenused, kohanemisprogramm, lihtsustatud tingimustel viisa/elamisloa taotlemine).</w:t>
      </w:r>
    </w:p>
    <w:p w:rsidR="00E37595" w:rsidRDefault="00E37595" w:rsidP="00E37595">
      <w:pPr>
        <w:jc w:val="both"/>
      </w:pPr>
    </w:p>
    <w:p w:rsidR="00E37595" w:rsidRPr="00B83A51" w:rsidRDefault="00E37595" w:rsidP="00E37595">
      <w:pPr>
        <w:jc w:val="both"/>
      </w:pPr>
      <w:r>
        <w:t>O</w:t>
      </w:r>
      <w:r w:rsidRPr="00B83A51">
        <w:t xml:space="preserve">luline </w:t>
      </w:r>
      <w:r>
        <w:t xml:space="preserve">on </w:t>
      </w:r>
      <w:r w:rsidRPr="00B83A51">
        <w:rPr>
          <w:b/>
        </w:rPr>
        <w:t xml:space="preserve">soodustada õppejõudude mobiilsust </w:t>
      </w:r>
      <w:r>
        <w:rPr>
          <w:b/>
        </w:rPr>
        <w:t>selle erinevates vormides</w:t>
      </w:r>
      <w:r w:rsidRPr="00B83A51">
        <w:t xml:space="preserve">. </w:t>
      </w:r>
      <w:r>
        <w:t>Väärtustada tuleks</w:t>
      </w:r>
      <w:r w:rsidRPr="00B83A51">
        <w:t xml:space="preserve"> efektiivset juhendamist, kus juhendaja toetaks doktorandi lõpetamist ning oleks motiveeritud kvaliteetseks juhendamistööks tunnustuse ja karjääri kaudu. </w:t>
      </w:r>
      <w:r>
        <w:t xml:space="preserve">Vajalik on ka tõsta </w:t>
      </w:r>
      <w:r>
        <w:lastRenderedPageBreak/>
        <w:t>ettevõtlussektori panust doktoriõppesse, sh nii juhendamisse kui ka ettevõtlusõppe arendamisse. Soodustada tuleb akadeemilise ja ettevõtlussektori koostööd, arendades doktorantide võimet teadustegevuse ja majandustegevuse ühildamisel ning parandada seeläbi ettevõtlussektori konkurentsivõimet ja toetada innovatsiooni.</w:t>
      </w:r>
      <w:r w:rsidRPr="006167F5">
        <w:t xml:space="preserve"> </w:t>
      </w:r>
      <w:r>
        <w:t>Samuti on eesmärgiks doktorikraadiga spetsialistide laialdasem rakendamine avalikus ja erasektoris.</w:t>
      </w:r>
    </w:p>
    <w:p w:rsidR="00E37595" w:rsidRDefault="00E37595" w:rsidP="00DE7228">
      <w:pPr>
        <w:jc w:val="both"/>
      </w:pPr>
    </w:p>
    <w:p w:rsidR="00DE7228" w:rsidRPr="00B83A51" w:rsidRDefault="00DE7228" w:rsidP="00DE7228">
      <w:pPr>
        <w:jc w:val="both"/>
      </w:pPr>
    </w:p>
    <w:p w:rsidR="00DE7228" w:rsidRPr="00B83A51" w:rsidRDefault="00DE7228" w:rsidP="00DE7228">
      <w:pPr>
        <w:jc w:val="both"/>
      </w:pPr>
    </w:p>
    <w:p w:rsidR="00DE7228" w:rsidRPr="00B83A51" w:rsidRDefault="00DE7228" w:rsidP="00DE7228">
      <w:pPr>
        <w:shd w:val="clear" w:color="auto" w:fill="CCCCCC"/>
        <w:jc w:val="both"/>
        <w:rPr>
          <w:b/>
        </w:rPr>
      </w:pPr>
      <w:r w:rsidRPr="00B83A51">
        <w:rPr>
          <w:b/>
        </w:rPr>
        <w:t>1</w:t>
      </w:r>
      <w:r w:rsidR="00220ABA">
        <w:rPr>
          <w:b/>
        </w:rPr>
        <w:t>1</w:t>
      </w:r>
      <w:r w:rsidRPr="00B83A51">
        <w:rPr>
          <w:b/>
        </w:rPr>
        <w:t xml:space="preserve">. Transpordi, IKT ja teiste riigi poolt pakutavate ettevõtlust toetava </w:t>
      </w:r>
      <w:proofErr w:type="spellStart"/>
      <w:r w:rsidRPr="00B83A51">
        <w:rPr>
          <w:b/>
        </w:rPr>
        <w:t>taristu</w:t>
      </w:r>
      <w:proofErr w:type="spellEnd"/>
      <w:r w:rsidRPr="00B83A51">
        <w:rPr>
          <w:b/>
        </w:rPr>
        <w:t xml:space="preserve"> ja institutsioonide viimine rahvusvahelisele tasemele.</w:t>
      </w:r>
    </w:p>
    <w:p w:rsidR="00DE7228" w:rsidRPr="00B83A51" w:rsidRDefault="00DE7228" w:rsidP="00DE7228">
      <w:pPr>
        <w:jc w:val="both"/>
        <w:rPr>
          <w:b/>
        </w:rPr>
      </w:pPr>
    </w:p>
    <w:p w:rsidR="00DE7228" w:rsidRPr="00B83A51" w:rsidRDefault="00DE7228" w:rsidP="00DE7228">
      <w:pPr>
        <w:jc w:val="both"/>
      </w:pPr>
      <w:r w:rsidRPr="00B83A51">
        <w:t xml:space="preserve">Eesti asukoha ja asustuse paiknemise tõttu on </w:t>
      </w:r>
      <w:r w:rsidRPr="00B83A51">
        <w:rPr>
          <w:b/>
        </w:rPr>
        <w:t>konkurentsivõimelisel tasemel ühendusvõimalused nii piiriüleselt kui siseriiklikult</w:t>
      </w:r>
      <w:r w:rsidRPr="00B83A51">
        <w:t xml:space="preserve"> elu- ja ettevõtluskeskkonna jaoks väga olulised. Kohaliku tootmise ja teenuste arendamisel ei peaks avalike teenuste kättesaadavus hästitoimiva transpordi ja infovahetuse infrastruktuuri puhul asukoha eripäradest sõltuma.</w:t>
      </w:r>
      <w:r w:rsidR="00A52291">
        <w:t xml:space="preserve"> </w:t>
      </w:r>
      <w:r w:rsidR="00A52291" w:rsidRPr="00A52291">
        <w:t xml:space="preserve">Suuremahulisi kaupu eksportivate sektorite jaoks on oluline tagada efektiivne ja konkurentsivõimeline siseriiklik </w:t>
      </w:r>
      <w:r w:rsidR="00322F9B">
        <w:t xml:space="preserve">kaubavedu </w:t>
      </w:r>
      <w:r w:rsidR="00A52291" w:rsidRPr="00A52291">
        <w:t>maanteetranspor</w:t>
      </w:r>
      <w:r w:rsidR="00322F9B">
        <w:t>dil Põhjamaade eeskujul</w:t>
      </w:r>
      <w:r w:rsidR="00A52291">
        <w:t>.</w:t>
      </w:r>
      <w:r w:rsidR="00EC502B" w:rsidRPr="00EC502B">
        <w:t xml:space="preserve"> </w:t>
      </w:r>
      <w:r w:rsidRPr="00B83A51">
        <w:t xml:space="preserve">Tööjõu areaalidest ja liikumissuundadest lähtuvalt vajavad eraldi tähelepanu erinevate </w:t>
      </w:r>
      <w:r w:rsidRPr="00B83A51">
        <w:rPr>
          <w:b/>
        </w:rPr>
        <w:t>transpordiliikide omavaheline parem koostoime ja ühenduskohad</w:t>
      </w:r>
      <w:r w:rsidRPr="00B83A51">
        <w:t xml:space="preserve">. Vajalik on ühistranspordi kasutajamugavuse tagamiseks sõiduplaanide ühtlustamine, aga ka vastava infrastruktuuri rajamine, mis võimaldab nii reisijate kui kaupade liikumist ühelt transpordiliigilt teisele ning pikemas perspektiivis </w:t>
      </w:r>
      <w:r w:rsidRPr="00B83A51">
        <w:rPr>
          <w:b/>
        </w:rPr>
        <w:t>integreeritud kavandamine transpordiliikide alternatiivide vahel valimiseks</w:t>
      </w:r>
      <w:r w:rsidRPr="00B83A51">
        <w:t xml:space="preserve">. </w:t>
      </w:r>
    </w:p>
    <w:p w:rsidR="00DE7228" w:rsidRPr="00B83A51" w:rsidRDefault="00DE7228" w:rsidP="00DE7228">
      <w:pPr>
        <w:jc w:val="both"/>
      </w:pPr>
    </w:p>
    <w:p w:rsidR="00DE7228" w:rsidRDefault="00DE7228" w:rsidP="00DE7228">
      <w:pPr>
        <w:jc w:val="both"/>
      </w:pPr>
      <w:r w:rsidRPr="00B83A51">
        <w:t xml:space="preserve">Rahvusvahelises võrdluses on Eesti jaoks transpordi infrastruktuuri, eriti piiriüleste ühendusteede tase olnud suhteliselt nõrk eelkõige kallite investeeringute ja majandusliku mittetasuvuse tõttu, mis tuleneb hõredast asustusest ja potentsiaalse kasutajate vähesusest. Samadel põhjusel ei ole ka kaasaegsel tasemel IKT infrastruktuuri väljaarendamine kogu riiki katvana ilma riigipoolse toetuseta võimalik. Eesti kui ettevõtlus-, teadus-, kultuuri- või hariduskeskkonna arengu ja rahvusvahelistumise jaoks on aga tegemist oluliste eelduste ja pudelikaeltega. Seetõttu on oluline </w:t>
      </w:r>
      <w:r w:rsidRPr="00B83A51">
        <w:rPr>
          <w:b/>
        </w:rPr>
        <w:t>pöörata enim tähelepanu rahvusvahelistele ühendusteedele,</w:t>
      </w:r>
      <w:r w:rsidR="00DB6E05">
        <w:rPr>
          <w:b/>
        </w:rPr>
        <w:t xml:space="preserve"> iseäranis lennuühendustele ja </w:t>
      </w:r>
      <w:r w:rsidRPr="00B83A51">
        <w:rPr>
          <w:b/>
        </w:rPr>
        <w:t>piiriületavatele raudteedele ja maanteedele</w:t>
      </w:r>
      <w:r w:rsidRPr="00B83A51">
        <w:t xml:space="preserve">. Tasakaalustatud regionaalse arengu huvides tuleb lisaks rahvusvahelistele maanteedele jätkata riigi kõrvalmaanteede tolmuvaba katte alla viimist, teha ettevalmistusi </w:t>
      </w:r>
      <w:r w:rsidRPr="00B83A51">
        <w:rPr>
          <w:b/>
        </w:rPr>
        <w:t>ühistranspordisüsteemide ühendamiseks</w:t>
      </w:r>
      <w:r w:rsidRPr="00B83A51">
        <w:t xml:space="preserve"> ning jätkata kiire ja </w:t>
      </w:r>
      <w:r w:rsidRPr="00B83A51">
        <w:rPr>
          <w:b/>
        </w:rPr>
        <w:t>kvaliteetse internetiühenduse</w:t>
      </w:r>
      <w:r w:rsidRPr="00B83A51">
        <w:t xml:space="preserve"> </w:t>
      </w:r>
      <w:proofErr w:type="spellStart"/>
      <w:r w:rsidR="00992ED3">
        <w:t>taristu</w:t>
      </w:r>
      <w:proofErr w:type="spellEnd"/>
      <w:r w:rsidR="00992ED3">
        <w:t xml:space="preserve"> </w:t>
      </w:r>
      <w:r w:rsidRPr="00B83A51">
        <w:t>väljaehitamist.</w:t>
      </w:r>
    </w:p>
    <w:p w:rsidR="00831485" w:rsidRDefault="00831485" w:rsidP="00DE7228">
      <w:pPr>
        <w:jc w:val="both"/>
      </w:pPr>
    </w:p>
    <w:p w:rsidR="0098475E" w:rsidRPr="00155200" w:rsidRDefault="00805646" w:rsidP="0098475E">
      <w:pPr>
        <w:jc w:val="both"/>
      </w:pPr>
      <w:r>
        <w:t xml:space="preserve">Selleks jätkatakse investeeringuid lennujaama raja pikendamisse, seadmete kvaliteeti, </w:t>
      </w:r>
      <w:r w:rsidR="001B328E">
        <w:t xml:space="preserve">kaasajastatakse teedeehitusnõuded ja </w:t>
      </w:r>
      <w:r w:rsidR="00526EBF">
        <w:t>tõstetakse</w:t>
      </w:r>
      <w:r w:rsidR="00D95E40">
        <w:t xml:space="preserve"> investeeringutega</w:t>
      </w:r>
      <w:r w:rsidR="00526EBF">
        <w:t xml:space="preserve"> eri transpordiliikide ühenduskohtade turvalisust ja mugavust.</w:t>
      </w:r>
      <w:r w:rsidR="003F504C">
        <w:t xml:space="preserve"> Samuti jätkub </w:t>
      </w:r>
      <w:r w:rsidR="00992ED3">
        <w:t xml:space="preserve">koostöös telekommunikatsiooni operaatorettevõtetega </w:t>
      </w:r>
      <w:r w:rsidR="003F504C">
        <w:t>mastaapne projekt Eesti lairibaühendustega katmiseks.</w:t>
      </w:r>
    </w:p>
    <w:p w:rsidR="008D5ABD" w:rsidRPr="008A2D57" w:rsidRDefault="0074603A" w:rsidP="008D5ABD">
      <w:pPr>
        <w:pStyle w:val="ldpealkirjaalapealkiri"/>
        <w:rPr>
          <w:b/>
          <w:bCs/>
        </w:rPr>
      </w:pPr>
      <w:r w:rsidRPr="00CA2452">
        <w:rPr>
          <w:b/>
          <w:bCs/>
        </w:rPr>
        <w:br w:type="page"/>
      </w:r>
      <w:r w:rsidR="008D5ABD" w:rsidRPr="008A2D57">
        <w:rPr>
          <w:b/>
          <w:bCs/>
        </w:rPr>
        <w:lastRenderedPageBreak/>
        <w:t>Keskkonnasõbralik majandus ja energeetika</w:t>
      </w:r>
    </w:p>
    <w:p w:rsidR="00B762E0" w:rsidRDefault="00B762E0" w:rsidP="00B762E0">
      <w:pPr>
        <w:jc w:val="both"/>
      </w:pPr>
    </w:p>
    <w:p w:rsidR="00B762E0" w:rsidRDefault="00B762E0" w:rsidP="00B762E0">
      <w:pPr>
        <w:jc w:val="both"/>
      </w:pPr>
      <w:r w:rsidRPr="00141BFA">
        <w:t>Keskkonnasõbraliku majanduse valdkond hõlmab endas Eesti energeetikasektori arendamise, erinevate sektorite energiasäästu ning majanduse üldise ressursisäästlikkuse eesmärke.</w:t>
      </w:r>
    </w:p>
    <w:p w:rsidR="00B762E0" w:rsidRPr="00141BFA" w:rsidRDefault="00B762E0" w:rsidP="00B762E0">
      <w:pPr>
        <w:jc w:val="both"/>
      </w:pPr>
    </w:p>
    <w:p w:rsidR="00B762E0" w:rsidRPr="00141BFA" w:rsidRDefault="00B762E0" w:rsidP="00B762E0">
      <w:pPr>
        <w:pStyle w:val="ldpealkirjaalapealkiri"/>
        <w:jc w:val="both"/>
        <w:rPr>
          <w:rFonts w:ascii="Times New Roman" w:hAnsi="Times New Roman"/>
          <w:b/>
          <w:bCs/>
          <w:color w:val="000080"/>
          <w:sz w:val="24"/>
        </w:rPr>
      </w:pPr>
      <w:r w:rsidRPr="00141BFA">
        <w:rPr>
          <w:rFonts w:ascii="Times New Roman" w:hAnsi="Times New Roman"/>
          <w:b/>
          <w:bCs/>
          <w:color w:val="000080"/>
          <w:sz w:val="24"/>
        </w:rPr>
        <w:t xml:space="preserve">Eesti 2020 EESmärgid </w:t>
      </w:r>
    </w:p>
    <w:p w:rsidR="00B762E0" w:rsidRPr="00141BFA" w:rsidRDefault="00B762E0" w:rsidP="00B762E0">
      <w:pPr>
        <w:rPr>
          <w:b/>
        </w:rPr>
      </w:pPr>
      <w:r w:rsidRPr="00141BFA">
        <w:rPr>
          <w:b/>
        </w:rPr>
        <w:t>2020. aastaks seatakse järgmised eesmärgid:</w:t>
      </w:r>
    </w:p>
    <w:p w:rsidR="00B762E0" w:rsidRPr="00141BFA" w:rsidRDefault="00B762E0" w:rsidP="00B762E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B762E0" w:rsidRPr="003675F2" w:rsidTr="00A06D95">
        <w:trPr>
          <w:trHeight w:val="70"/>
        </w:trPr>
        <w:tc>
          <w:tcPr>
            <w:tcW w:w="9212" w:type="dxa"/>
            <w:gridSpan w:val="3"/>
            <w:shd w:val="clear" w:color="auto" w:fill="CCECFF"/>
            <w:vAlign w:val="center"/>
          </w:tcPr>
          <w:p w:rsidR="00B762E0" w:rsidRPr="003675F2" w:rsidRDefault="00B762E0" w:rsidP="00A06D95">
            <w:pPr>
              <w:rPr>
                <w:b/>
              </w:rPr>
            </w:pPr>
            <w:r w:rsidRPr="003675F2">
              <w:rPr>
                <w:b/>
              </w:rPr>
              <w:t>Kasvuhoonegaaside heitkoguste piirmäär võrreldes 2005. aasta tasemega</w:t>
            </w:r>
            <w:r w:rsidRPr="003675F2">
              <w:rPr>
                <w:rStyle w:val="FootnoteReference"/>
                <w:b/>
              </w:rPr>
              <w:footnoteReference w:id="4"/>
            </w:r>
          </w:p>
        </w:tc>
      </w:tr>
      <w:tr w:rsidR="00B762E0" w:rsidRPr="003675F2" w:rsidTr="00A06D95">
        <w:tc>
          <w:tcPr>
            <w:tcW w:w="3070" w:type="dxa"/>
            <w:vAlign w:val="center"/>
          </w:tcPr>
          <w:p w:rsidR="00B762E0" w:rsidRPr="003675F2" w:rsidRDefault="00B762E0" w:rsidP="00A06D95">
            <w:pPr>
              <w:jc w:val="center"/>
              <w:rPr>
                <w:b/>
              </w:rPr>
            </w:pPr>
            <w:r w:rsidRPr="003675F2">
              <w:rPr>
                <w:b/>
              </w:rPr>
              <w:t>2005 tase</w:t>
            </w:r>
          </w:p>
        </w:tc>
        <w:tc>
          <w:tcPr>
            <w:tcW w:w="3071" w:type="dxa"/>
            <w:vAlign w:val="center"/>
          </w:tcPr>
          <w:p w:rsidR="00B762E0" w:rsidRPr="003675F2" w:rsidRDefault="00B762E0" w:rsidP="00A06D95">
            <w:pPr>
              <w:jc w:val="center"/>
              <w:rPr>
                <w:b/>
              </w:rPr>
            </w:pPr>
            <w:r w:rsidRPr="003675F2">
              <w:rPr>
                <w:b/>
              </w:rPr>
              <w:t>Eesti eesmärk 2015</w:t>
            </w:r>
          </w:p>
        </w:tc>
        <w:tc>
          <w:tcPr>
            <w:tcW w:w="3071" w:type="dxa"/>
            <w:vAlign w:val="center"/>
          </w:tcPr>
          <w:p w:rsidR="00B762E0" w:rsidRPr="003675F2" w:rsidRDefault="00B762E0" w:rsidP="00A06D95">
            <w:pPr>
              <w:jc w:val="center"/>
              <w:rPr>
                <w:b/>
              </w:rPr>
            </w:pPr>
            <w:r w:rsidRPr="003675F2">
              <w:rPr>
                <w:b/>
              </w:rPr>
              <w:t>Eesti eesmärk 2020</w:t>
            </w:r>
          </w:p>
        </w:tc>
      </w:tr>
      <w:tr w:rsidR="000619E3" w:rsidRPr="003675F2" w:rsidTr="00A06D95">
        <w:tc>
          <w:tcPr>
            <w:tcW w:w="3070" w:type="dxa"/>
            <w:vAlign w:val="center"/>
          </w:tcPr>
          <w:p w:rsidR="000619E3" w:rsidRPr="003675F2" w:rsidRDefault="000619E3" w:rsidP="00A95C96">
            <w:pPr>
              <w:jc w:val="center"/>
              <w:rPr>
                <w:b/>
              </w:rPr>
            </w:pPr>
            <w:r>
              <w:rPr>
                <w:b/>
              </w:rPr>
              <w:t>5647</w:t>
            </w:r>
            <w:r w:rsidRPr="003675F2">
              <w:rPr>
                <w:b/>
              </w:rPr>
              <w:t xml:space="preserve"> tuhat tonni </w:t>
            </w:r>
          </w:p>
        </w:tc>
        <w:tc>
          <w:tcPr>
            <w:tcW w:w="3071" w:type="dxa"/>
            <w:vAlign w:val="center"/>
          </w:tcPr>
          <w:p w:rsidR="000619E3" w:rsidRPr="003675F2" w:rsidRDefault="000619E3" w:rsidP="000619E3">
            <w:pPr>
              <w:jc w:val="center"/>
              <w:rPr>
                <w:b/>
              </w:rPr>
            </w:pPr>
            <w:r>
              <w:rPr>
                <w:b/>
              </w:rPr>
              <w:t>6346</w:t>
            </w:r>
            <w:r w:rsidRPr="003675F2">
              <w:rPr>
                <w:b/>
              </w:rPr>
              <w:t xml:space="preserve"> tuhat tonni</w:t>
            </w:r>
          </w:p>
        </w:tc>
        <w:tc>
          <w:tcPr>
            <w:tcW w:w="3071" w:type="dxa"/>
            <w:vAlign w:val="center"/>
          </w:tcPr>
          <w:p w:rsidR="000619E3" w:rsidRPr="003675F2" w:rsidRDefault="000619E3" w:rsidP="000619E3">
            <w:pPr>
              <w:jc w:val="center"/>
              <w:rPr>
                <w:b/>
              </w:rPr>
            </w:pPr>
            <w:r>
              <w:rPr>
                <w:b/>
              </w:rPr>
              <w:t xml:space="preserve">6467 tuhat tonni </w:t>
            </w:r>
            <w:r>
              <w:t>(+11</w:t>
            </w:r>
            <w:r w:rsidRPr="00E262CD">
              <w:t>% võrreldes 2005)</w:t>
            </w:r>
          </w:p>
        </w:tc>
      </w:tr>
    </w:tbl>
    <w:p w:rsidR="00B762E0" w:rsidRPr="00641936" w:rsidRDefault="00B762E0" w:rsidP="00B762E0">
      <w:pPr>
        <w:jc w:val="both"/>
        <w:rPr>
          <w:i/>
          <w:sz w:val="20"/>
          <w:szCs w:val="20"/>
        </w:rPr>
      </w:pPr>
      <w:r w:rsidRPr="00641936">
        <w:rPr>
          <w:i/>
          <w:sz w:val="20"/>
          <w:szCs w:val="20"/>
        </w:rPr>
        <w:t xml:space="preserve">* </w:t>
      </w:r>
      <w:r w:rsidR="00656E25">
        <w:rPr>
          <w:i/>
          <w:sz w:val="20"/>
          <w:szCs w:val="20"/>
        </w:rPr>
        <w:t>Reaalne</w:t>
      </w:r>
      <w:r w:rsidRPr="00641936">
        <w:rPr>
          <w:i/>
          <w:sz w:val="20"/>
          <w:szCs w:val="20"/>
        </w:rPr>
        <w:t xml:space="preserve"> heitkoguste tase ehk eesmärgi täitmise lähtepunkt on hinnanguliselt </w:t>
      </w:r>
      <w:r w:rsidR="00656E25">
        <w:rPr>
          <w:i/>
          <w:sz w:val="20"/>
          <w:szCs w:val="20"/>
        </w:rPr>
        <w:t>56</w:t>
      </w:r>
      <w:r w:rsidR="00566DFE">
        <w:rPr>
          <w:i/>
          <w:sz w:val="20"/>
          <w:szCs w:val="20"/>
        </w:rPr>
        <w:t>44</w:t>
      </w:r>
      <w:r>
        <w:rPr>
          <w:i/>
          <w:sz w:val="20"/>
          <w:szCs w:val="20"/>
        </w:rPr>
        <w:t xml:space="preserve"> </w:t>
      </w:r>
      <w:r w:rsidR="00656E25">
        <w:rPr>
          <w:i/>
          <w:sz w:val="20"/>
          <w:szCs w:val="20"/>
        </w:rPr>
        <w:t>tuhat tonni (</w:t>
      </w:r>
      <w:r w:rsidR="00566DFE">
        <w:rPr>
          <w:i/>
          <w:sz w:val="20"/>
          <w:szCs w:val="20"/>
        </w:rPr>
        <w:t>2012. aasta heitkogus</w:t>
      </w:r>
      <w:r w:rsidRPr="00641936">
        <w:rPr>
          <w:i/>
          <w:sz w:val="20"/>
          <w:szCs w:val="20"/>
        </w:rPr>
        <w:t>)</w:t>
      </w:r>
    </w:p>
    <w:p w:rsidR="00B762E0" w:rsidRDefault="00B762E0" w:rsidP="00B762E0">
      <w:pPr>
        <w:jc w:val="both"/>
      </w:pPr>
    </w:p>
    <w:p w:rsidR="000619E3" w:rsidRDefault="000619E3" w:rsidP="000619E3">
      <w:pPr>
        <w:jc w:val="both"/>
      </w:pPr>
      <w:r w:rsidRPr="00B22423">
        <w:t xml:space="preserve">EL on võtnud eesmärgiks aastaks </w:t>
      </w:r>
      <w:r w:rsidRPr="00EB54F0">
        <w:t>2020 vähendada heitkoguseid 20% võrra 1990. aasta heitkoguste tasemega võrreldes. Heitkoguste vähenemine saavutatakse kahe mehhanismi kombineerimise abil, milleks on EL heitkoguste kauplemissüsteem ja riiklikud kohustused kauplemissüsteemi välistele sektoritele. 2013. aasta</w:t>
      </w:r>
      <w:r>
        <w:t>l</w:t>
      </w:r>
      <w:r w:rsidRPr="00EB54F0">
        <w:t xml:space="preserve"> käivitu</w:t>
      </w:r>
      <w:r>
        <w:t>s</w:t>
      </w:r>
      <w:r w:rsidRPr="00EB54F0">
        <w:t xml:space="preserve"> EL heitkoguse</w:t>
      </w:r>
      <w:r>
        <w:t xml:space="preserve"> ühikute</w:t>
      </w:r>
      <w:r w:rsidRPr="00EB54F0">
        <w:t>ga</w:t>
      </w:r>
      <w:r>
        <w:t xml:space="preserve"> (edaspidi </w:t>
      </w:r>
      <w:r w:rsidRPr="00D236A1">
        <w:rPr>
          <w:i/>
        </w:rPr>
        <w:t>EL HKS</w:t>
      </w:r>
      <w:r>
        <w:t>)</w:t>
      </w:r>
      <w:r w:rsidRPr="00EB54F0">
        <w:t xml:space="preserve"> kauplemissüstee</w:t>
      </w:r>
      <w:r>
        <w:t>m uutel ja ühtsetel alustel, mis tähendab, et  enampakkumised on ELi</w:t>
      </w:r>
      <w:r w:rsidRPr="00D236A1">
        <w:t xml:space="preserve"> HKSis ühikute eraldamise vaikimisi meetodiks ning käitistele jagatakse tasuta lubatud heitk</w:t>
      </w:r>
      <w:r>
        <w:t xml:space="preserve">oguse ühikuid (edaspidi </w:t>
      </w:r>
      <w:r w:rsidRPr="00D236A1">
        <w:rPr>
          <w:i/>
        </w:rPr>
        <w:t>LHÜ</w:t>
      </w:r>
      <w:r>
        <w:t>) ühtlustatud lähenemise alusel</w:t>
      </w:r>
      <w:r w:rsidRPr="00EB54F0">
        <w:t xml:space="preserve">. EL on võtnud eesmärgiks kasvuhoonegaaside heitkoguste kauplemissüsteemi </w:t>
      </w:r>
      <w:r>
        <w:t>abil</w:t>
      </w:r>
      <w:r w:rsidRPr="00EB54F0">
        <w:t xml:space="preserve"> vähendada </w:t>
      </w:r>
      <w:r>
        <w:t xml:space="preserve">2020. aastaks </w:t>
      </w:r>
      <w:r w:rsidRPr="00EB54F0">
        <w:t xml:space="preserve">heitkoguseid 21% võrreldes 2005. aasta heitkoguste tasemega. </w:t>
      </w:r>
    </w:p>
    <w:p w:rsidR="00B762E0" w:rsidRDefault="00B762E0" w:rsidP="00B762E0">
      <w:pPr>
        <w:jc w:val="both"/>
      </w:pPr>
    </w:p>
    <w:p w:rsidR="000619E3" w:rsidRDefault="000619E3" w:rsidP="000619E3">
      <w:pPr>
        <w:jc w:val="both"/>
      </w:pPr>
      <w:r w:rsidRPr="00EB54F0">
        <w:t xml:space="preserve">Riiklikud </w:t>
      </w:r>
      <w:r>
        <w:t>kohustused</w:t>
      </w:r>
      <w:r w:rsidRPr="00EB54F0">
        <w:t xml:space="preserve"> on seatud </w:t>
      </w:r>
      <w:r>
        <w:t>ELi HKSi</w:t>
      </w:r>
      <w:r w:rsidRPr="00EB54F0">
        <w:t xml:space="preserve"> </w:t>
      </w:r>
      <w:r>
        <w:t>välistele</w:t>
      </w:r>
      <w:r w:rsidRPr="00EB54F0">
        <w:t xml:space="preserve"> sektoritele </w:t>
      </w:r>
      <w:r w:rsidRPr="00B22423">
        <w:t xml:space="preserve">v.a </w:t>
      </w:r>
      <w:r w:rsidRPr="00B22423">
        <w:rPr>
          <w:i/>
          <w:iCs/>
        </w:rPr>
        <w:t>LULUCF</w:t>
      </w:r>
      <w:r w:rsidRPr="00B22423">
        <w:rPr>
          <w:rStyle w:val="FootnoteReference"/>
          <w:i/>
          <w:iCs/>
        </w:rPr>
        <w:footnoteReference w:id="5"/>
      </w:r>
      <w:r w:rsidRPr="00B22423">
        <w:rPr>
          <w:i/>
          <w:iCs/>
        </w:rPr>
        <w:t xml:space="preserve"> </w:t>
      </w:r>
      <w:r>
        <w:t>sektor</w:t>
      </w:r>
      <w:r w:rsidRPr="00EB54F0">
        <w:t xml:space="preserve"> (hooned, transport, põllumajandus, jäätmed jm), kus Eesti heitkogused ei tohi aastaks 2020 suureneda enam kui</w:t>
      </w:r>
      <w:r>
        <w:t xml:space="preserve"> 11</w:t>
      </w:r>
      <w:r w:rsidRPr="00EB54F0">
        <w:t>%</w:t>
      </w:r>
      <w:r>
        <w:t xml:space="preserve"> võrreldes 2005. a tasemega</w:t>
      </w:r>
      <w:r w:rsidRPr="00EB54F0">
        <w:t xml:space="preserve">. </w:t>
      </w:r>
      <w:r>
        <w:t>Seni ei ole seda piirtaset ületatud. 2014. aasta andmetel oli kasvuhoonegaaside heitkogus kauplemissüsteemi välistes sektorites 6083 tuhat tonni CO</w:t>
      </w:r>
      <w:r w:rsidRPr="005F6D88">
        <w:rPr>
          <w:vertAlign w:val="subscript"/>
        </w:rPr>
        <w:t>2</w:t>
      </w:r>
      <w:r>
        <w:t xml:space="preserve"> ekvivalenti. </w:t>
      </w:r>
      <w:r w:rsidRPr="00AF66F1">
        <w:t>Kauplemissüsteemi väliste sektorite kasvuhoonegaaside heitkogustega kauplemiseks l</w:t>
      </w:r>
      <w:r>
        <w:t>oodi</w:t>
      </w:r>
      <w:r w:rsidRPr="00AF66F1">
        <w:t>raamistik</w:t>
      </w:r>
      <w:r>
        <w:t xml:space="preserve"> välisõhu kaitse seadusesse 2015. a</w:t>
      </w:r>
      <w:r w:rsidRPr="00AF66F1">
        <w:t>astal.</w:t>
      </w:r>
    </w:p>
    <w:p w:rsidR="00B762E0" w:rsidRDefault="00B762E0" w:rsidP="00B762E0">
      <w:pPr>
        <w:jc w:val="both"/>
      </w:pPr>
    </w:p>
    <w:p w:rsidR="000619E3" w:rsidRPr="00B22423" w:rsidRDefault="000619E3" w:rsidP="000619E3">
      <w:pPr>
        <w:jc w:val="both"/>
      </w:pPr>
      <w:r w:rsidRPr="00EB54F0">
        <w:t>Riiklikud eesmärgid ja EL kauplemissüsteemi eesmärgid kokku peavad aastaks</w:t>
      </w:r>
      <w:r w:rsidRPr="00A47A01">
        <w:t xml:space="preserve"> 2020 tagama </w:t>
      </w:r>
      <w:r>
        <w:t>EL</w:t>
      </w:r>
      <w:r w:rsidRPr="00A47A01">
        <w:t xml:space="preserve"> heitkoguste 20%-lise vähenemise võrreldes</w:t>
      </w:r>
      <w:r>
        <w:t xml:space="preserve"> 1990. </w:t>
      </w:r>
      <w:r w:rsidRPr="00A47A01">
        <w:t>aasta tasemega.</w:t>
      </w:r>
      <w:r>
        <w:t xml:space="preserve"> </w:t>
      </w:r>
      <w:r w:rsidRPr="001260A0">
        <w:t>Eestis on viimastel kümnenditel kasvuhoonegaaside (KHG) heitkoguseid märkimisväärselt vähendatud</w:t>
      </w:r>
      <w:r w:rsidRPr="00B22423">
        <w:t>. Kui 1990. aastal oli KHG arvestuslik heitkogus väljendatuna süsinikdioksiidi ekvivalendina ligikaudu 4</w:t>
      </w:r>
      <w:r>
        <w:t>0</w:t>
      </w:r>
      <w:r w:rsidRPr="00B22423">
        <w:t xml:space="preserve"> </w:t>
      </w:r>
      <w:r>
        <w:t>mln</w:t>
      </w:r>
      <w:r w:rsidRPr="00B22423">
        <w:t xml:space="preserve"> tonni, siis 20</w:t>
      </w:r>
      <w:r>
        <w:t>14</w:t>
      </w:r>
      <w:r w:rsidRPr="00B22423">
        <w:t xml:space="preserve">. aastal </w:t>
      </w:r>
      <w:r>
        <w:t xml:space="preserve">oli </w:t>
      </w:r>
      <w:r w:rsidRPr="005F6D88">
        <w:t xml:space="preserve">kasvuhoonegaaside inventuuri kohaselt </w:t>
      </w:r>
      <w:r w:rsidRPr="00B22423">
        <w:t xml:space="preserve">heitmeid </w:t>
      </w:r>
      <w:r>
        <w:t>21 mln</w:t>
      </w:r>
      <w:r w:rsidRPr="00B22423">
        <w:t xml:space="preserve"> tonni (v.a </w:t>
      </w:r>
      <w:r w:rsidRPr="00B22423">
        <w:rPr>
          <w:i/>
          <w:iCs/>
        </w:rPr>
        <w:t xml:space="preserve">LULUCF </w:t>
      </w:r>
      <w:r>
        <w:t>sektor), mis tähendab ligikaudu 47% vähenemist võrreldes baasaastaga.</w:t>
      </w:r>
    </w:p>
    <w:p w:rsidR="00B762E0" w:rsidRPr="00141BFA" w:rsidRDefault="00B762E0" w:rsidP="00B762E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B762E0" w:rsidRPr="003675F2" w:rsidTr="00A06D95">
        <w:trPr>
          <w:trHeight w:val="70"/>
        </w:trPr>
        <w:tc>
          <w:tcPr>
            <w:tcW w:w="9212" w:type="dxa"/>
            <w:gridSpan w:val="3"/>
            <w:shd w:val="clear" w:color="auto" w:fill="CCECFF"/>
            <w:vAlign w:val="center"/>
          </w:tcPr>
          <w:p w:rsidR="00B762E0" w:rsidRPr="003675F2" w:rsidRDefault="00B762E0" w:rsidP="00A06D95">
            <w:pPr>
              <w:rPr>
                <w:b/>
              </w:rPr>
            </w:pPr>
            <w:r w:rsidRPr="003675F2">
              <w:rPr>
                <w:b/>
              </w:rPr>
              <w:t xml:space="preserve">Taastuvenergia osakaalu tõstmine 25%ni energia lõpptarbimisest </w:t>
            </w:r>
          </w:p>
        </w:tc>
      </w:tr>
      <w:tr w:rsidR="00B762E0" w:rsidRPr="003675F2" w:rsidTr="00A06D95">
        <w:tc>
          <w:tcPr>
            <w:tcW w:w="3070" w:type="dxa"/>
            <w:vAlign w:val="center"/>
          </w:tcPr>
          <w:p w:rsidR="00B762E0" w:rsidRPr="003675F2" w:rsidRDefault="00B762E0" w:rsidP="00A06D95">
            <w:pPr>
              <w:jc w:val="center"/>
              <w:rPr>
                <w:b/>
              </w:rPr>
            </w:pPr>
            <w:r>
              <w:rPr>
                <w:b/>
              </w:rPr>
              <w:t>Algtase</w:t>
            </w:r>
            <w:r w:rsidRPr="003675F2">
              <w:rPr>
                <w:b/>
              </w:rPr>
              <w:t xml:space="preserve"> 2009</w:t>
            </w:r>
          </w:p>
        </w:tc>
        <w:tc>
          <w:tcPr>
            <w:tcW w:w="3071" w:type="dxa"/>
            <w:vAlign w:val="center"/>
          </w:tcPr>
          <w:p w:rsidR="00B762E0" w:rsidRPr="003675F2" w:rsidRDefault="00B762E0" w:rsidP="00A06D95">
            <w:pPr>
              <w:jc w:val="center"/>
              <w:rPr>
                <w:b/>
              </w:rPr>
            </w:pPr>
            <w:r w:rsidRPr="003675F2">
              <w:rPr>
                <w:b/>
              </w:rPr>
              <w:t>Eesti eesmärk 2015</w:t>
            </w:r>
          </w:p>
        </w:tc>
        <w:tc>
          <w:tcPr>
            <w:tcW w:w="3071" w:type="dxa"/>
            <w:vAlign w:val="center"/>
          </w:tcPr>
          <w:p w:rsidR="00B762E0" w:rsidRPr="003675F2" w:rsidRDefault="00B762E0" w:rsidP="00A06D95">
            <w:pPr>
              <w:jc w:val="center"/>
              <w:rPr>
                <w:b/>
              </w:rPr>
            </w:pPr>
            <w:r w:rsidRPr="003675F2">
              <w:rPr>
                <w:b/>
              </w:rPr>
              <w:t>Eesti eesmärk 2020</w:t>
            </w:r>
          </w:p>
        </w:tc>
      </w:tr>
      <w:tr w:rsidR="00B762E0" w:rsidRPr="003675F2" w:rsidTr="00A06D95">
        <w:tc>
          <w:tcPr>
            <w:tcW w:w="3070" w:type="dxa"/>
            <w:vAlign w:val="center"/>
          </w:tcPr>
          <w:p w:rsidR="00B762E0" w:rsidRPr="003675F2" w:rsidRDefault="00B762E0" w:rsidP="00A06D95">
            <w:pPr>
              <w:jc w:val="center"/>
              <w:rPr>
                <w:b/>
              </w:rPr>
            </w:pPr>
            <w:r w:rsidRPr="003675F2">
              <w:rPr>
                <w:b/>
              </w:rPr>
              <w:t>19,5%</w:t>
            </w:r>
          </w:p>
        </w:tc>
        <w:tc>
          <w:tcPr>
            <w:tcW w:w="3071" w:type="dxa"/>
            <w:vAlign w:val="center"/>
          </w:tcPr>
          <w:p w:rsidR="00B762E0" w:rsidRPr="003675F2" w:rsidRDefault="00B762E0" w:rsidP="00A06D95">
            <w:pPr>
              <w:jc w:val="center"/>
              <w:rPr>
                <w:b/>
              </w:rPr>
            </w:pPr>
            <w:r w:rsidRPr="003675F2">
              <w:rPr>
                <w:b/>
              </w:rPr>
              <w:t>23,6%</w:t>
            </w:r>
          </w:p>
        </w:tc>
        <w:tc>
          <w:tcPr>
            <w:tcW w:w="3071" w:type="dxa"/>
            <w:vAlign w:val="center"/>
          </w:tcPr>
          <w:p w:rsidR="00B762E0" w:rsidRPr="003675F2" w:rsidRDefault="00B762E0" w:rsidP="00A06D95">
            <w:pPr>
              <w:jc w:val="center"/>
              <w:rPr>
                <w:b/>
              </w:rPr>
            </w:pPr>
            <w:r w:rsidRPr="003675F2">
              <w:rPr>
                <w:b/>
              </w:rPr>
              <w:t>25%</w:t>
            </w:r>
          </w:p>
        </w:tc>
      </w:tr>
    </w:tbl>
    <w:p w:rsidR="00B762E0" w:rsidRPr="00141BFA" w:rsidRDefault="00B762E0" w:rsidP="00B762E0">
      <w:pPr>
        <w:rPr>
          <w:b/>
        </w:rPr>
      </w:pPr>
    </w:p>
    <w:p w:rsidR="00B762E0" w:rsidRDefault="00B762E0" w:rsidP="00B762E0">
      <w:pPr>
        <w:spacing w:before="120"/>
        <w:jc w:val="both"/>
      </w:pPr>
      <w:r w:rsidRPr="0013314D">
        <w:t xml:space="preserve">Eesti eesmärk on suurendada taastuvenergia osakaalu energia lõpptarbimises 25%-ni aastaks 2020, mis eeldab muutusi kõikides sektorites. Täna põhineb Eesti energeetikasektor veel </w:t>
      </w:r>
      <w:r w:rsidRPr="0013314D">
        <w:lastRenderedPageBreak/>
        <w:t xml:space="preserve">suures mahus fossiilsetel kütustel, kuid viimastel aastatel on toimunud pidev taastuvenergia osakaalu suurenemine. </w:t>
      </w:r>
      <w:r w:rsidR="00524232" w:rsidRPr="00524232">
        <w:rPr>
          <w:b/>
        </w:rPr>
        <w:t>201</w:t>
      </w:r>
      <w:r w:rsidR="00D33BAB">
        <w:rPr>
          <w:b/>
        </w:rPr>
        <w:t>4</w:t>
      </w:r>
      <w:r w:rsidR="00524232" w:rsidRPr="00524232">
        <w:rPr>
          <w:b/>
        </w:rPr>
        <w:t>. aastal oli taastuvenergia osakaal lõpptarbimises 2</w:t>
      </w:r>
      <w:r w:rsidR="008C4524">
        <w:rPr>
          <w:b/>
        </w:rPr>
        <w:t>6,5%</w:t>
      </w:r>
      <w:r w:rsidR="00374E1B">
        <w:rPr>
          <w:b/>
        </w:rPr>
        <w:t xml:space="preserve">, </w:t>
      </w:r>
      <w:r w:rsidR="00374E1B">
        <w:t xml:space="preserve">mis tähendab, et aastaks 2020 seatud eesmärgi täitmiseks tuleb vähemalt saavutatud taset hoida. </w:t>
      </w:r>
    </w:p>
    <w:p w:rsidR="00B762E0" w:rsidRPr="0013314D" w:rsidRDefault="00B762E0" w:rsidP="00B762E0">
      <w:pPr>
        <w:jc w:val="both"/>
      </w:pPr>
    </w:p>
    <w:p w:rsidR="00B762E0" w:rsidRPr="0013314D" w:rsidRDefault="00B762E0" w:rsidP="00B762E0">
      <w:pPr>
        <w:autoSpaceDE w:val="0"/>
        <w:autoSpaceDN w:val="0"/>
        <w:adjustRightInd w:val="0"/>
        <w:jc w:val="both"/>
      </w:pPr>
      <w:r w:rsidRPr="0013314D">
        <w:t xml:space="preserve">Märkimisväärselt on taastuvenergia osakaalu </w:t>
      </w:r>
      <w:r>
        <w:t>aidanud</w:t>
      </w:r>
      <w:r w:rsidRPr="0013314D">
        <w:t xml:space="preserve"> suurendada toetusmehhanismid taastuvatest energiaallikatest elektrit tootvatele soojuse- ja elektri koostootmisjaamadele. </w:t>
      </w:r>
      <w:r w:rsidRPr="00AC1564">
        <w:t xml:space="preserve">Samas on soojusmajanduses endiselt paljud katlamajadest maagaasi või raske kütteõli baasil. Suur taastuvenergia potentsiaal on biokütustel baseeruvas elektri ja soojuse koostootmises ning tuuleenergias. Lähiaastatel </w:t>
      </w:r>
      <w:r w:rsidR="008C4524">
        <w:t xml:space="preserve">pööratakse peamine tähelepanu </w:t>
      </w:r>
      <w:r w:rsidRPr="00AC1564">
        <w:t>taastuvate energiaallikate kasutamise suurendamise</w:t>
      </w:r>
      <w:r w:rsidR="008C4524">
        <w:t>le</w:t>
      </w:r>
      <w:r w:rsidRPr="00AC1564">
        <w:t xml:space="preserve"> ka transpordisektoris.</w:t>
      </w:r>
    </w:p>
    <w:p w:rsidR="00B762E0" w:rsidRDefault="00B762E0" w:rsidP="00B762E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B762E0" w:rsidRPr="003675F2" w:rsidTr="00A06D95">
        <w:trPr>
          <w:trHeight w:val="70"/>
        </w:trPr>
        <w:tc>
          <w:tcPr>
            <w:tcW w:w="9212" w:type="dxa"/>
            <w:gridSpan w:val="3"/>
            <w:shd w:val="clear" w:color="auto" w:fill="CCECFF"/>
            <w:vAlign w:val="center"/>
          </w:tcPr>
          <w:p w:rsidR="00B762E0" w:rsidRPr="003675F2" w:rsidRDefault="00B762E0" w:rsidP="00A06D95">
            <w:pPr>
              <w:rPr>
                <w:b/>
              </w:rPr>
            </w:pPr>
            <w:r w:rsidRPr="003675F2">
              <w:rPr>
                <w:b/>
              </w:rPr>
              <w:t>Energia lõpptarbimise taseme säilitamine 2010. aasta tasemel</w:t>
            </w:r>
          </w:p>
        </w:tc>
      </w:tr>
      <w:tr w:rsidR="00B762E0" w:rsidRPr="003675F2" w:rsidTr="00A06D95">
        <w:tc>
          <w:tcPr>
            <w:tcW w:w="3070" w:type="dxa"/>
            <w:vAlign w:val="center"/>
          </w:tcPr>
          <w:p w:rsidR="00B762E0" w:rsidRPr="003675F2" w:rsidRDefault="00B762E0" w:rsidP="00A06D95">
            <w:pPr>
              <w:jc w:val="center"/>
              <w:rPr>
                <w:b/>
              </w:rPr>
            </w:pPr>
            <w:r w:rsidRPr="003675F2">
              <w:rPr>
                <w:b/>
              </w:rPr>
              <w:t>2010 tase</w:t>
            </w:r>
          </w:p>
        </w:tc>
        <w:tc>
          <w:tcPr>
            <w:tcW w:w="3071" w:type="dxa"/>
            <w:vAlign w:val="center"/>
          </w:tcPr>
          <w:p w:rsidR="00B762E0" w:rsidRPr="003675F2" w:rsidRDefault="00B762E0" w:rsidP="00A06D95">
            <w:pPr>
              <w:jc w:val="center"/>
              <w:rPr>
                <w:b/>
              </w:rPr>
            </w:pPr>
            <w:r w:rsidRPr="003675F2">
              <w:rPr>
                <w:b/>
              </w:rPr>
              <w:t>Eesti eesmärk 2015</w:t>
            </w:r>
          </w:p>
        </w:tc>
        <w:tc>
          <w:tcPr>
            <w:tcW w:w="3071" w:type="dxa"/>
            <w:vAlign w:val="center"/>
          </w:tcPr>
          <w:p w:rsidR="00B762E0" w:rsidRPr="003675F2" w:rsidRDefault="00B762E0" w:rsidP="00A06D95">
            <w:pPr>
              <w:jc w:val="center"/>
              <w:rPr>
                <w:b/>
              </w:rPr>
            </w:pPr>
            <w:r w:rsidRPr="003675F2">
              <w:rPr>
                <w:b/>
              </w:rPr>
              <w:t>Eesti eesmärk 2020</w:t>
            </w:r>
          </w:p>
        </w:tc>
      </w:tr>
      <w:tr w:rsidR="00B762E0" w:rsidRPr="003675F2" w:rsidTr="00A06D95">
        <w:tc>
          <w:tcPr>
            <w:tcW w:w="3070" w:type="dxa"/>
            <w:vAlign w:val="center"/>
          </w:tcPr>
          <w:p w:rsidR="00B762E0" w:rsidRPr="001849E9" w:rsidRDefault="00B762E0" w:rsidP="00A06D95">
            <w:pPr>
              <w:jc w:val="center"/>
              <w:rPr>
                <w:b/>
              </w:rPr>
            </w:pPr>
            <w:r w:rsidRPr="001849E9">
              <w:rPr>
                <w:b/>
              </w:rPr>
              <w:t xml:space="preserve">2818 </w:t>
            </w:r>
            <w:proofErr w:type="spellStart"/>
            <w:r w:rsidRPr="001849E9">
              <w:rPr>
                <w:b/>
              </w:rPr>
              <w:t>ktoe</w:t>
            </w:r>
            <w:proofErr w:type="spellEnd"/>
          </w:p>
        </w:tc>
        <w:tc>
          <w:tcPr>
            <w:tcW w:w="3071" w:type="dxa"/>
            <w:vAlign w:val="center"/>
          </w:tcPr>
          <w:p w:rsidR="00B762E0" w:rsidRPr="001849E9" w:rsidRDefault="00B762E0" w:rsidP="00A06D95">
            <w:pPr>
              <w:jc w:val="center"/>
              <w:rPr>
                <w:b/>
              </w:rPr>
            </w:pPr>
            <w:r w:rsidRPr="001849E9">
              <w:rPr>
                <w:b/>
              </w:rPr>
              <w:t xml:space="preserve">2986 </w:t>
            </w:r>
            <w:proofErr w:type="spellStart"/>
            <w:r w:rsidRPr="001849E9">
              <w:rPr>
                <w:b/>
              </w:rPr>
              <w:t>ktoe</w:t>
            </w:r>
            <w:proofErr w:type="spellEnd"/>
          </w:p>
        </w:tc>
        <w:tc>
          <w:tcPr>
            <w:tcW w:w="3071" w:type="dxa"/>
            <w:vAlign w:val="center"/>
          </w:tcPr>
          <w:p w:rsidR="00B762E0" w:rsidRPr="001849E9" w:rsidRDefault="00B762E0" w:rsidP="00A06D95">
            <w:pPr>
              <w:jc w:val="center"/>
              <w:rPr>
                <w:b/>
              </w:rPr>
            </w:pPr>
            <w:r w:rsidRPr="001849E9">
              <w:rPr>
                <w:b/>
              </w:rPr>
              <w:t xml:space="preserve">2818 </w:t>
            </w:r>
            <w:proofErr w:type="spellStart"/>
            <w:r w:rsidRPr="001849E9">
              <w:rPr>
                <w:b/>
              </w:rPr>
              <w:t>ktoe</w:t>
            </w:r>
            <w:proofErr w:type="spellEnd"/>
            <w:r w:rsidRPr="001849E9">
              <w:rPr>
                <w:b/>
              </w:rPr>
              <w:t xml:space="preserve"> </w:t>
            </w:r>
          </w:p>
        </w:tc>
      </w:tr>
    </w:tbl>
    <w:p w:rsidR="00B762E0" w:rsidRPr="00141BFA" w:rsidRDefault="00B762E0" w:rsidP="00B762E0">
      <w:pPr>
        <w:rPr>
          <w:b/>
        </w:rPr>
      </w:pPr>
    </w:p>
    <w:p w:rsidR="00B762E0" w:rsidRPr="0013314D" w:rsidRDefault="00B762E0" w:rsidP="00B762E0">
      <w:pPr>
        <w:jc w:val="both"/>
      </w:pPr>
      <w:r w:rsidRPr="00A47A01">
        <w:t xml:space="preserve">Energiatarbe pikaajalisel prognoosimisel lähtub Eesti SKP muutustest ning sektoripõhistest arengutest, mille tulemusena eeldatakse, et energia lõpptarbimine on 2020. aastal ligikaudu 3248 </w:t>
      </w:r>
      <w:proofErr w:type="spellStart"/>
      <w:r w:rsidRPr="00A47A01">
        <w:t>ktoe</w:t>
      </w:r>
      <w:proofErr w:type="spellEnd"/>
      <w:r w:rsidRPr="00A47A01">
        <w:t xml:space="preserve">. Seda arvestades on Eesti seadnud eesmärgiks energia lõpptarbimise taseme säilitamine 2010. aasta tasemel (ligikaudu 2866 </w:t>
      </w:r>
      <w:proofErr w:type="spellStart"/>
      <w:r w:rsidRPr="00A47A01">
        <w:t>ktoe</w:t>
      </w:r>
      <w:proofErr w:type="spellEnd"/>
      <w:r w:rsidRPr="00A47A01">
        <w:t xml:space="preserve">) ehk energia lõpptarbimise vähendamine ligikaudu 11% võrreldes 2020. aastaks prognoositud tasemega. Lähtuvalt sellest ei tohiks energia lõpptarbimine 2015. aastal samuti praegust tarbimist märkimisväärselt ületada ning jääma vahemikku 2938-2986 </w:t>
      </w:r>
      <w:proofErr w:type="spellStart"/>
      <w:r w:rsidRPr="00A47A01">
        <w:t>ktoe</w:t>
      </w:r>
      <w:proofErr w:type="spellEnd"/>
      <w:r w:rsidRPr="00A47A01">
        <w:t xml:space="preserve"> (see on ligikaudu 4% madalam kui 2015. aasta </w:t>
      </w:r>
      <w:r w:rsidRPr="0013314D">
        <w:t>prognoositud tase).</w:t>
      </w:r>
      <w:r w:rsidR="00374E1B">
        <w:t xml:space="preserve"> 2014. aastal oli energia lõpptarbimine 2774,2 </w:t>
      </w:r>
      <w:proofErr w:type="spellStart"/>
      <w:r w:rsidR="00374E1B">
        <w:t>ktoe</w:t>
      </w:r>
      <w:proofErr w:type="spellEnd"/>
      <w:r w:rsidR="00374E1B">
        <w:t xml:space="preserve">, mis on 7% madalam 2015. Aastaks seatud vahe-eesmärgist ning 1,6% madalam 2020. aasta eesmärgist.  </w:t>
      </w:r>
    </w:p>
    <w:p w:rsidR="00B762E0" w:rsidRPr="00141BFA" w:rsidRDefault="00B762E0" w:rsidP="00B762E0">
      <w:pPr>
        <w:spacing w:before="240"/>
        <w:jc w:val="both"/>
      </w:pPr>
      <w:r w:rsidRPr="0013314D">
        <w:t>Lõpptarbimise hoidmine 2010. aasta tasemel eeldab energiasäästu suurendamist pea kõikides sektorites, millest olulisemad on kodumajapidamised, tööstus, transport ja avalik sektor. Jätkata tuleb hoonete energiasäästu investeeringutega, samuti on oluline avaliku sektori eeskuju hoonete haldamisel ning rajamisel. Tööstuse energiasäästu aitab saavutada uute tehnoloogiate kasutuselevõtt. Transpordi energiakasutust saab ohjata läbi transpordivajaduse vähendamise, ühistranspordi kasutuse suurendamise ja sõidukite ökonoomsuse suurendamise. Sealjuures on oluline üldine teadlikkuse kasv ja sellest lähtuv tarbijakäitumise muutus.</w:t>
      </w:r>
    </w:p>
    <w:p w:rsidR="00B762E0" w:rsidRDefault="00B762E0" w:rsidP="00B762E0">
      <w:pPr>
        <w:rPr>
          <w:b/>
        </w:rPr>
      </w:pPr>
    </w:p>
    <w:p w:rsidR="00B762E0" w:rsidRDefault="00B762E0" w:rsidP="00B762E0">
      <w:pPr>
        <w:pStyle w:val="ldpealkirjaalapealkiri"/>
        <w:spacing w:before="120" w:after="120"/>
        <w:jc w:val="both"/>
        <w:rPr>
          <w:rFonts w:ascii="Garamond" w:hAnsi="Garamond"/>
          <w:b/>
          <w:bCs/>
          <w:color w:val="000080"/>
          <w:sz w:val="24"/>
        </w:rPr>
      </w:pPr>
      <w:r>
        <w:rPr>
          <w:rFonts w:ascii="Garamond" w:hAnsi="Garamond"/>
          <w:b/>
          <w:bCs/>
          <w:color w:val="000080"/>
          <w:sz w:val="24"/>
        </w:rPr>
        <w:t>Valitsuse poliitika põhisuunad</w:t>
      </w:r>
    </w:p>
    <w:p w:rsidR="00B762E0" w:rsidRPr="00B83A51" w:rsidRDefault="00B762E0" w:rsidP="00B762E0">
      <w:pPr>
        <w:shd w:val="clear" w:color="auto" w:fill="CCCCCC"/>
        <w:jc w:val="both"/>
        <w:rPr>
          <w:b/>
          <w:lang w:eastAsia="en-US"/>
        </w:rPr>
      </w:pPr>
      <w:r w:rsidRPr="00B83A51">
        <w:rPr>
          <w:b/>
          <w:lang w:eastAsia="en-US"/>
        </w:rPr>
        <w:t>1</w:t>
      </w:r>
      <w:r>
        <w:rPr>
          <w:b/>
          <w:lang w:eastAsia="en-US"/>
        </w:rPr>
        <w:t>2</w:t>
      </w:r>
      <w:r w:rsidRPr="00B83A51">
        <w:rPr>
          <w:b/>
          <w:lang w:eastAsia="en-US"/>
        </w:rPr>
        <w:t>. Energeetika pikaajaliste struktuursete muutuste elluviimine kooskõlas Eesti energiajulgeoleku ja energiasäästu eesmärkidega.</w:t>
      </w:r>
    </w:p>
    <w:p w:rsidR="00B762E0" w:rsidRPr="00B83A51" w:rsidRDefault="00B762E0" w:rsidP="00B762E0">
      <w:pPr>
        <w:rPr>
          <w:lang w:eastAsia="en-US"/>
        </w:rPr>
      </w:pPr>
    </w:p>
    <w:p w:rsidR="00B762E0" w:rsidRDefault="00B762E0" w:rsidP="00B762E0">
      <w:pPr>
        <w:autoSpaceDE w:val="0"/>
        <w:autoSpaceDN w:val="0"/>
        <w:adjustRightInd w:val="0"/>
        <w:jc w:val="both"/>
      </w:pPr>
      <w:r>
        <w:t xml:space="preserve">Üha enam kujuneb riigi konkurentsivõimet mõjutavaks faktoriks keskkonnasäästliku ja tõhusa energiasektori olemasolu. Rahvusvahelise kliimapoliitikaga sammu pidamisel ja majanduse energiamahukuse vähendamisel on seega oluline tagada EL energia siseturu toimimine ja </w:t>
      </w:r>
      <w:r w:rsidRPr="00761574">
        <w:rPr>
          <w:b/>
        </w:rPr>
        <w:t>viia energiamajanduse riiklik arengukava kooskõlla viimastel aastatel toimunud muutustega energiaturul</w:t>
      </w:r>
      <w:r>
        <w:t xml:space="preserve">. Kõige suuremad väljakutsed peituvad elektrisektoris, kus täna toodetakse </w:t>
      </w:r>
      <w:r w:rsidR="0060152C">
        <w:t>ca 8</w:t>
      </w:r>
      <w:r>
        <w:t xml:space="preserve">0% elektrienergiast põlevkivist. </w:t>
      </w:r>
      <w:r w:rsidRPr="00D72586">
        <w:t xml:space="preserve">Lähikümnendi oluline märksõna on </w:t>
      </w:r>
      <w:r w:rsidRPr="00D72586">
        <w:rPr>
          <w:b/>
        </w:rPr>
        <w:t>energiaallikate mitmekesistamine</w:t>
      </w:r>
      <w:r>
        <w:rPr>
          <w:color w:val="7F7F7F"/>
        </w:rPr>
        <w:t xml:space="preserve">. </w:t>
      </w:r>
      <w:r>
        <w:t xml:space="preserve">See hõlmab nii </w:t>
      </w:r>
      <w:r w:rsidRPr="00761574">
        <w:rPr>
          <w:b/>
        </w:rPr>
        <w:t>elektri- ja soojuse koostootmise laiendamist</w:t>
      </w:r>
      <w:r w:rsidR="00374E1B">
        <w:rPr>
          <w:b/>
        </w:rPr>
        <w:t xml:space="preserve"> ning </w:t>
      </w:r>
      <w:r w:rsidRPr="00761574">
        <w:rPr>
          <w:b/>
        </w:rPr>
        <w:t xml:space="preserve"> tuuleenergia </w:t>
      </w:r>
      <w:r>
        <w:rPr>
          <w:b/>
        </w:rPr>
        <w:t xml:space="preserve">ja biomassist toodetud energia </w:t>
      </w:r>
      <w:r w:rsidRPr="00761574">
        <w:rPr>
          <w:b/>
        </w:rPr>
        <w:t>osakaalu suurendamist.</w:t>
      </w:r>
      <w:r>
        <w:t xml:space="preserve"> </w:t>
      </w:r>
      <w:r w:rsidR="00C51DFB">
        <w:t xml:space="preserve">Eesti taastuvenergia tootjatele tuleb luua võimalused osaleda taastuvenergia direktiivis ettenähtud paindlikes koostöömehhanismides. </w:t>
      </w:r>
    </w:p>
    <w:p w:rsidR="00C51DFB" w:rsidRDefault="00C51DFB" w:rsidP="00B762E0">
      <w:pPr>
        <w:autoSpaceDE w:val="0"/>
        <w:autoSpaceDN w:val="0"/>
        <w:adjustRightInd w:val="0"/>
        <w:jc w:val="both"/>
      </w:pPr>
    </w:p>
    <w:p w:rsidR="00B762E0" w:rsidRPr="00D72586" w:rsidRDefault="00B762E0" w:rsidP="00B762E0">
      <w:pPr>
        <w:autoSpaceDE w:val="0"/>
        <w:autoSpaceDN w:val="0"/>
        <w:adjustRightInd w:val="0"/>
        <w:jc w:val="both"/>
      </w:pPr>
      <w:r>
        <w:lastRenderedPageBreak/>
        <w:t xml:space="preserve">Energiaallikate mitmekesistamise ja energiajulgeoleku seisukohast on oluline piisavate </w:t>
      </w:r>
      <w:r w:rsidRPr="00761574">
        <w:rPr>
          <w:b/>
        </w:rPr>
        <w:t>energiaühenduste rajamine</w:t>
      </w:r>
      <w:r>
        <w:rPr>
          <w:b/>
        </w:rPr>
        <w:t xml:space="preserve">. </w:t>
      </w:r>
      <w:r>
        <w:t xml:space="preserve"> Eesti-Läti elektriühendus</w:t>
      </w:r>
      <w:r w:rsidRPr="00D72586">
        <w:t xml:space="preserve">, </w:t>
      </w:r>
      <w:proofErr w:type="spellStart"/>
      <w:r w:rsidRPr="00D72586">
        <w:t>BalticConnector</w:t>
      </w:r>
      <w:proofErr w:type="spellEnd"/>
      <w:r w:rsidRPr="00D72586">
        <w:t xml:space="preserve"> ja LNG terminal kajastuvad Euroopa Komisjoni poolt kinnitatud Euroopa ühishuvi projektide nimekirjas</w:t>
      </w:r>
      <w:r>
        <w:t>. Projektide realiseerumiseks on oluline jätkata tööd ühenduse rahastuse taotlemisel</w:t>
      </w:r>
      <w:r w:rsidRPr="00D72586">
        <w:t xml:space="preserve">. </w:t>
      </w:r>
      <w:r>
        <w:t xml:space="preserve">Eesti ja teiste EL liikmesriikide elektritootjatele tuleb kindlustada võrdsed konkurentsitingimused võrreldes </w:t>
      </w:r>
      <w:proofErr w:type="spellStart"/>
      <w:r>
        <w:t>mitte-EEA</w:t>
      </w:r>
      <w:proofErr w:type="spellEnd"/>
      <w:r>
        <w:t xml:space="preserve"> riikide tootjatega. </w:t>
      </w:r>
    </w:p>
    <w:p w:rsidR="00B762E0" w:rsidRDefault="00B762E0" w:rsidP="00B762E0">
      <w:pPr>
        <w:jc w:val="both"/>
      </w:pPr>
    </w:p>
    <w:p w:rsidR="00B762E0" w:rsidRPr="00D56A31" w:rsidRDefault="00B762E0" w:rsidP="00B762E0">
      <w:pPr>
        <w:jc w:val="both"/>
      </w:pPr>
      <w:r>
        <w:t>1.</w:t>
      </w:r>
      <w:r w:rsidRPr="00D56A31">
        <w:t>jaanuarist 2013 avanes Eesti elektriturg täielikult kõikidele elektritarbijatele.</w:t>
      </w:r>
      <w:r>
        <w:t xml:space="preserve"> Gaasituru avamiseks on läbi </w:t>
      </w:r>
      <w:r w:rsidR="00374E1B">
        <w:t xml:space="preserve">viidud </w:t>
      </w:r>
      <w:r>
        <w:t>gaasivõrgu omandiline eraldamine</w:t>
      </w:r>
      <w:r w:rsidR="00374E1B">
        <w:t xml:space="preserve">. Tuleb teha edasisi pingutusi, et saada maagaasiturg toimima sarnaselt avatud elektriturule, sealjuures tuleb tähelepanu pöörata ka gaasituru toimimisele regioonis. </w:t>
      </w:r>
      <w:r w:rsidRPr="00D56A31">
        <w:t xml:space="preserve">Ühelt poolt suureneb turu avanemisega konkurents, mis peaks tagama parema teenuse lõpptarbijale. Samas tuleb riigil vabaturule üleminekul tagada võimalikult korrektne protseduuriline pool ning </w:t>
      </w:r>
      <w:r w:rsidRPr="00D56A31">
        <w:rPr>
          <w:b/>
        </w:rPr>
        <w:t>turu edukas toimimine</w:t>
      </w:r>
      <w:r w:rsidRPr="00D56A31">
        <w:t xml:space="preserve">. </w:t>
      </w:r>
    </w:p>
    <w:p w:rsidR="00B762E0" w:rsidRPr="00CE76D9" w:rsidRDefault="00B762E0" w:rsidP="00B762E0">
      <w:pPr>
        <w:ind w:left="360"/>
        <w:jc w:val="both"/>
        <w:rPr>
          <w:color w:val="7F7F7F"/>
        </w:rPr>
      </w:pPr>
    </w:p>
    <w:p w:rsidR="00B762E0" w:rsidRPr="001849E9" w:rsidRDefault="00B762E0" w:rsidP="00B762E0">
      <w:pPr>
        <w:shd w:val="clear" w:color="auto" w:fill="CCCCCC"/>
        <w:jc w:val="both"/>
        <w:rPr>
          <w:b/>
          <w:lang w:eastAsia="en-US"/>
        </w:rPr>
      </w:pPr>
      <w:r w:rsidRPr="001849E9">
        <w:rPr>
          <w:b/>
          <w:lang w:eastAsia="en-US"/>
        </w:rPr>
        <w:t>13. Majanduse üldise ressursi- ja energiamahukuse vähendamine</w:t>
      </w:r>
      <w:r>
        <w:rPr>
          <w:b/>
          <w:lang w:eastAsia="en-US"/>
        </w:rPr>
        <w:t>.</w:t>
      </w:r>
    </w:p>
    <w:p w:rsidR="00B762E0" w:rsidRPr="001849E9" w:rsidRDefault="00B762E0" w:rsidP="00B762E0">
      <w:pPr>
        <w:rPr>
          <w:lang w:eastAsia="en-US"/>
        </w:rPr>
      </w:pPr>
    </w:p>
    <w:p w:rsidR="00BF7994" w:rsidRDefault="000619E3" w:rsidP="00BF7994">
      <w:pPr>
        <w:jc w:val="both"/>
      </w:pPr>
      <w:r w:rsidRPr="001849E9">
        <w:t xml:space="preserve">Riigi konkurentsivõimet üha enam mõjutavaks teguriks on majanduse </w:t>
      </w:r>
      <w:r>
        <w:t xml:space="preserve">ressursi- ja </w:t>
      </w:r>
      <w:r w:rsidRPr="001849E9">
        <w:t xml:space="preserve">energiamahukus ning erinevate sektorite võime saavutada </w:t>
      </w:r>
      <w:r>
        <w:t xml:space="preserve">ressursi- ja </w:t>
      </w:r>
      <w:r w:rsidRPr="001849E9">
        <w:t xml:space="preserve">energiasäästu läbi uute tehnoloogiate ja lahenduste kasutuselevõtu. </w:t>
      </w:r>
      <w:r w:rsidR="00BF7994">
        <w:t xml:space="preserve">Majanduse ressursi- ja energiamahukuse vähendamine aitab riigil täita ka Pariisi kliimakokkuleppes võetud kohustusi kliimasoojenemise pidurdamiseks. </w:t>
      </w:r>
    </w:p>
    <w:p w:rsidR="000619E3" w:rsidRDefault="000619E3" w:rsidP="00B762E0">
      <w:pPr>
        <w:rPr>
          <w:b/>
          <w:lang w:eastAsia="en-US"/>
        </w:rPr>
      </w:pPr>
    </w:p>
    <w:p w:rsidR="00B762E0" w:rsidRPr="001849E9" w:rsidRDefault="00B762E0" w:rsidP="00B762E0">
      <w:pPr>
        <w:rPr>
          <w:b/>
          <w:lang w:eastAsia="en-US"/>
        </w:rPr>
      </w:pPr>
      <w:r w:rsidRPr="001849E9">
        <w:rPr>
          <w:b/>
          <w:lang w:eastAsia="en-US"/>
        </w:rPr>
        <w:t>ENERGIASÄÄST</w:t>
      </w:r>
    </w:p>
    <w:p w:rsidR="00B762E0" w:rsidRPr="001849E9" w:rsidRDefault="00B762E0" w:rsidP="00B762E0">
      <w:pPr>
        <w:rPr>
          <w:b/>
          <w:lang w:eastAsia="en-US"/>
        </w:rPr>
      </w:pPr>
    </w:p>
    <w:p w:rsidR="00B762E0" w:rsidRDefault="00B762E0" w:rsidP="00B762E0">
      <w:pPr>
        <w:jc w:val="both"/>
      </w:pPr>
      <w:r w:rsidRPr="001849E9">
        <w:t xml:space="preserve">Energiasäästu on Eestis edendatud pea kõikides valdkondades, kuid rõhuasetused ja meetmete iseloom on olnud väga erinevad. Energiasäästu toetused on olnud väga tugevalt suunatud kodumajapidamistele läbi erinevate </w:t>
      </w:r>
      <w:r w:rsidRPr="00F13E69">
        <w:rPr>
          <w:b/>
        </w:rPr>
        <w:t>hoonete energiatõhusust suurendavate meetmete</w:t>
      </w:r>
      <w:r w:rsidRPr="001849E9">
        <w:t xml:space="preserve">. Investeeritud on nii kohaliku omavalitsuse kui riigi </w:t>
      </w:r>
      <w:r w:rsidRPr="00AC1564">
        <w:t xml:space="preserve">avalike hoonete energiasäästu. </w:t>
      </w:r>
      <w:r w:rsidR="00BF7994" w:rsidRPr="00FD582F">
        <w:rPr>
          <w:b/>
        </w:rPr>
        <w:t xml:space="preserve">Soojamajanduses  </w:t>
      </w:r>
      <w:r w:rsidR="00BF7994">
        <w:t xml:space="preserve">tuleb soodustada kaugküttelahenduste arendamist või üleminekut alternatiivsetele lokaalsetele küttelahendustele vastavalt sellele, milline lahendus on piirkonnas jätkusuutlikum. </w:t>
      </w:r>
      <w:r w:rsidRPr="00AC1564">
        <w:t xml:space="preserve">Transpordi energiakasutuse suunamise peamine hoob on olnud aktsiisimaksud, viimase 15 aasta jooksul on kütuseaktsiisi tõstetud kümnel korral. Lisaks on rakendatud transpordisektoris energiatõhusust parandavaid projekte läbi rohelise investeerimisskeemi. </w:t>
      </w:r>
    </w:p>
    <w:p w:rsidR="00B762E0" w:rsidRDefault="00B762E0" w:rsidP="00B762E0">
      <w:pPr>
        <w:jc w:val="both"/>
      </w:pPr>
    </w:p>
    <w:p w:rsidR="008C4524" w:rsidRPr="001849E9" w:rsidRDefault="00B762E0" w:rsidP="008C4524">
      <w:pPr>
        <w:jc w:val="both"/>
      </w:pPr>
      <w:r w:rsidRPr="00AC1564">
        <w:t>Tänane</w:t>
      </w:r>
      <w:r w:rsidRPr="001849E9">
        <w:t xml:space="preserve"> energia lõpptarbimise tase sektorites ja prognoos järgmiseks kümneks aastaks näitab, et suurim kasv ja ka sektoraalsete </w:t>
      </w:r>
      <w:r w:rsidRPr="00AC1564">
        <w:rPr>
          <w:b/>
        </w:rPr>
        <w:t xml:space="preserve">meetmete vajadus </w:t>
      </w:r>
      <w:r w:rsidRPr="00DF5B7A">
        <w:rPr>
          <w:b/>
        </w:rPr>
        <w:t>elektri, mootorikütuste ja muude kütuste kokkuhoiu</w:t>
      </w:r>
      <w:r>
        <w:rPr>
          <w:b/>
        </w:rPr>
        <w:t>ks</w:t>
      </w:r>
      <w:r w:rsidRPr="00DF5B7A">
        <w:rPr>
          <w:b/>
        </w:rPr>
        <w:t xml:space="preserve"> kodumajapidamistes</w:t>
      </w:r>
      <w:r>
        <w:rPr>
          <w:b/>
        </w:rPr>
        <w:t>, tööstuses ja transpordisektoris</w:t>
      </w:r>
      <w:r w:rsidRPr="00DF5B7A">
        <w:rPr>
          <w:b/>
        </w:rPr>
        <w:t>.</w:t>
      </w:r>
      <w:r w:rsidRPr="001849E9">
        <w:t xml:space="preserve"> Jätkata tuleb </w:t>
      </w:r>
      <w:r w:rsidRPr="00DF5B7A">
        <w:rPr>
          <w:b/>
        </w:rPr>
        <w:t xml:space="preserve">korterelamute energiasäästu </w:t>
      </w:r>
      <w:r w:rsidRPr="00DF5B7A">
        <w:t>investeeringuid</w:t>
      </w:r>
      <w:r w:rsidRPr="001849E9">
        <w:t xml:space="preserve"> ning </w:t>
      </w:r>
      <w:r w:rsidR="00374E1B">
        <w:t>leida võimalusi laiendamaks</w:t>
      </w:r>
      <w:r w:rsidR="00374E1B" w:rsidRPr="001849E9">
        <w:t xml:space="preserve"> </w:t>
      </w:r>
      <w:r w:rsidRPr="001849E9">
        <w:t xml:space="preserve">riigipoolseid meetmeid ka </w:t>
      </w:r>
      <w:r w:rsidRPr="00DF5B7A">
        <w:rPr>
          <w:b/>
        </w:rPr>
        <w:t>eramajade energiasäästu</w:t>
      </w:r>
      <w:r w:rsidRPr="001849E9">
        <w:t xml:space="preserve"> edendamiseks. Tööstuses on täna hinnanguliselt 30%-line soojuse ja 10%-line elektri kokkuhoiu potentsiaal, mille saavutamine eeldab nii tehnoloogia uuendamist kui teadlikkuse kasvu.</w:t>
      </w:r>
      <w:r w:rsidR="00374E1B">
        <w:t xml:space="preserve">  </w:t>
      </w:r>
      <w:r w:rsidRPr="007858E7">
        <w:t>Transpordi energiakasutust tuleb ohjata läbi kolme tegutsemissuuna</w:t>
      </w:r>
      <w:r w:rsidRPr="001849E9">
        <w:t xml:space="preserve"> </w:t>
      </w:r>
      <w:r w:rsidRPr="00DB6E05">
        <w:t>–</w:t>
      </w:r>
      <w:r w:rsidRPr="001849E9">
        <w:t xml:space="preserve"> </w:t>
      </w:r>
      <w:r w:rsidRPr="007858E7">
        <w:rPr>
          <w:b/>
        </w:rPr>
        <w:t>transpordivajaduse vähendamine</w:t>
      </w:r>
      <w:r w:rsidRPr="001849E9">
        <w:t>,</w:t>
      </w:r>
      <w:r>
        <w:t xml:space="preserve"> sh </w:t>
      </w:r>
      <w:r w:rsidRPr="00EC3E52">
        <w:t>kaubavedude efektiivse</w:t>
      </w:r>
      <w:r>
        <w:t>maks ning keskkonnasäästlik</w:t>
      </w:r>
      <w:r w:rsidRPr="00EC3E52">
        <w:t>umaks muutmine</w:t>
      </w:r>
      <w:r w:rsidR="00BF7994" w:rsidRPr="00BF7994">
        <w:t xml:space="preserve"> </w:t>
      </w:r>
      <w:r w:rsidR="00BF7994">
        <w:t>ja sundliikumist vähendavad planeeringud</w:t>
      </w:r>
      <w:r>
        <w:t>,</w:t>
      </w:r>
      <w:r w:rsidRPr="001849E9">
        <w:t xml:space="preserve"> </w:t>
      </w:r>
      <w:r w:rsidRPr="007858E7">
        <w:rPr>
          <w:b/>
        </w:rPr>
        <w:t>ühistranspordi kasutuse suurendamine ja sõidukite ökonoomsuse suurendamine</w:t>
      </w:r>
      <w:r w:rsidRPr="001849E9">
        <w:t xml:space="preserve">. Eraldi tuleb käsitleda ka </w:t>
      </w:r>
      <w:r w:rsidRPr="00DF5B7A">
        <w:rPr>
          <w:b/>
        </w:rPr>
        <w:t>avaliku sektori energiatarvet</w:t>
      </w:r>
      <w:r w:rsidRPr="001849E9">
        <w:t xml:space="preserve">, kuivõrd avaliku sektori käitumine peab andma eeskuju ülejäänud sektoritele. Horisontaalselt kõikide sektorite energiasäästule aitab kaasa </w:t>
      </w:r>
      <w:r w:rsidRPr="001849E9">
        <w:rPr>
          <w:bCs/>
        </w:rPr>
        <w:t>intelligentse elektrivõrgu</w:t>
      </w:r>
      <w:r w:rsidRPr="001849E9">
        <w:rPr>
          <w:b/>
          <w:bCs/>
        </w:rPr>
        <w:t xml:space="preserve"> </w:t>
      </w:r>
      <w:r w:rsidRPr="001849E9">
        <w:t>arendamise kaudu elektritarbimise juhtimise võimekuste tõstmine Eestis.</w:t>
      </w:r>
      <w:r w:rsidR="008C4524">
        <w:t xml:space="preserve"> </w:t>
      </w:r>
      <w:r w:rsidRPr="00616BC5">
        <w:rPr>
          <w:b/>
        </w:rPr>
        <w:t xml:space="preserve">Targa võrgu väljaarendamine </w:t>
      </w:r>
      <w:r w:rsidRPr="00616BC5">
        <w:t xml:space="preserve">võimaldab vähendada energiakadusid energiaülekandel, optimeerida energiatootmist, arendada hajusat tootmist ning </w:t>
      </w:r>
      <w:r w:rsidRPr="00616BC5">
        <w:lastRenderedPageBreak/>
        <w:t>võrku ühendada suuremat taastuvenergia hulka.</w:t>
      </w:r>
      <w:r>
        <w:t xml:space="preserve"> </w:t>
      </w:r>
      <w:r w:rsidR="008C4524">
        <w:t xml:space="preserve">Täienenud funktsionaalsus elektrivõrgus võimaldab välja arendada uusi innovaatilisi </w:t>
      </w:r>
      <w:bookmarkStart w:id="0" w:name="_GoBack"/>
      <w:bookmarkEnd w:id="0"/>
      <w:r w:rsidR="008C4524">
        <w:t>teenuseid kõigile elektritarbijatele.</w:t>
      </w:r>
    </w:p>
    <w:p w:rsidR="00B762E0" w:rsidRPr="001849E9" w:rsidRDefault="00B762E0" w:rsidP="00B762E0">
      <w:pPr>
        <w:jc w:val="both"/>
      </w:pPr>
    </w:p>
    <w:p w:rsidR="00B762E0" w:rsidRPr="001849E9" w:rsidRDefault="00B762E0" w:rsidP="00B762E0">
      <w:pPr>
        <w:jc w:val="both"/>
      </w:pPr>
    </w:p>
    <w:p w:rsidR="00B762E0" w:rsidRPr="001849E9" w:rsidRDefault="00B762E0" w:rsidP="00B762E0">
      <w:pPr>
        <w:jc w:val="both"/>
        <w:rPr>
          <w:b/>
        </w:rPr>
      </w:pPr>
      <w:r w:rsidRPr="001849E9">
        <w:rPr>
          <w:b/>
        </w:rPr>
        <w:t>RESSURSISÄÄST</w:t>
      </w:r>
    </w:p>
    <w:p w:rsidR="00B762E0" w:rsidRPr="001849E9" w:rsidRDefault="00B762E0" w:rsidP="00B762E0">
      <w:pPr>
        <w:jc w:val="both"/>
        <w:rPr>
          <w:b/>
        </w:rPr>
      </w:pPr>
    </w:p>
    <w:p w:rsidR="000619E3" w:rsidRDefault="000619E3" w:rsidP="000619E3">
      <w:pPr>
        <w:pStyle w:val="BodyText3"/>
        <w:spacing w:after="0"/>
        <w:jc w:val="both"/>
        <w:rPr>
          <w:sz w:val="24"/>
          <w:szCs w:val="24"/>
        </w:rPr>
      </w:pPr>
      <w:r w:rsidRPr="001849E9">
        <w:rPr>
          <w:sz w:val="24"/>
          <w:szCs w:val="24"/>
        </w:rPr>
        <w:t xml:space="preserve">Jätkusuutliku majanduskasvu saavutamiseks tuleb jätkata senisest </w:t>
      </w:r>
      <w:r>
        <w:rPr>
          <w:sz w:val="24"/>
          <w:szCs w:val="24"/>
        </w:rPr>
        <w:t xml:space="preserve">madalama süsiniku heitega, </w:t>
      </w:r>
      <w:r w:rsidRPr="001849E9">
        <w:rPr>
          <w:sz w:val="24"/>
          <w:szCs w:val="24"/>
        </w:rPr>
        <w:t xml:space="preserve">ressursitõhusama, </w:t>
      </w:r>
      <w:r>
        <w:rPr>
          <w:sz w:val="24"/>
          <w:szCs w:val="24"/>
        </w:rPr>
        <w:t>keskkonna</w:t>
      </w:r>
      <w:r w:rsidRPr="001849E9">
        <w:rPr>
          <w:sz w:val="24"/>
          <w:szCs w:val="24"/>
        </w:rPr>
        <w:t xml:space="preserve">säästlikuma ja </w:t>
      </w:r>
      <w:r>
        <w:rPr>
          <w:sz w:val="24"/>
          <w:szCs w:val="24"/>
        </w:rPr>
        <w:t xml:space="preserve">seeläbi </w:t>
      </w:r>
      <w:r w:rsidRPr="001849E9">
        <w:rPr>
          <w:sz w:val="24"/>
          <w:szCs w:val="24"/>
        </w:rPr>
        <w:t>konkurentsivõimelisema majandussüsteemi arendamist.</w:t>
      </w:r>
      <w:r>
        <w:rPr>
          <w:sz w:val="24"/>
          <w:szCs w:val="24"/>
        </w:rPr>
        <w:t xml:space="preserve"> Jätkusuutliku majanduskasvu tagamiseks on oluline edendada </w:t>
      </w:r>
      <w:r w:rsidRPr="00337E13">
        <w:rPr>
          <w:b/>
          <w:sz w:val="24"/>
          <w:szCs w:val="24"/>
        </w:rPr>
        <w:t>ringmajandust</w:t>
      </w:r>
      <w:r>
        <w:rPr>
          <w:sz w:val="24"/>
          <w:szCs w:val="24"/>
        </w:rPr>
        <w:t>, kus</w:t>
      </w:r>
      <w:r w:rsidRPr="00B56781">
        <w:rPr>
          <w:sz w:val="24"/>
          <w:szCs w:val="24"/>
        </w:rPr>
        <w:t xml:space="preserve"> säilitatakse tooteid, materjale ja ressursse võimalikult kaua </w:t>
      </w:r>
      <w:r>
        <w:rPr>
          <w:sz w:val="24"/>
          <w:szCs w:val="24"/>
        </w:rPr>
        <w:t>ning</w:t>
      </w:r>
      <w:r w:rsidRPr="00B56781">
        <w:rPr>
          <w:sz w:val="24"/>
          <w:szCs w:val="24"/>
        </w:rPr>
        <w:t xml:space="preserve"> tekitatakse jäätmeid võimalikult vähe</w:t>
      </w:r>
      <w:r>
        <w:rPr>
          <w:sz w:val="24"/>
          <w:szCs w:val="24"/>
        </w:rPr>
        <w:t xml:space="preserve">.  </w:t>
      </w:r>
    </w:p>
    <w:p w:rsidR="00B762E0" w:rsidRPr="001849E9" w:rsidRDefault="00B762E0" w:rsidP="00B762E0">
      <w:pPr>
        <w:pStyle w:val="BodyText3"/>
        <w:spacing w:after="0"/>
        <w:jc w:val="both"/>
        <w:rPr>
          <w:sz w:val="24"/>
          <w:szCs w:val="24"/>
        </w:rPr>
      </w:pPr>
    </w:p>
    <w:p w:rsidR="000619E3" w:rsidRDefault="000619E3" w:rsidP="000619E3">
      <w:pPr>
        <w:autoSpaceDE w:val="0"/>
        <w:autoSpaceDN w:val="0"/>
        <w:adjustRightInd w:val="0"/>
        <w:jc w:val="both"/>
      </w:pPr>
      <w:r w:rsidRPr="001849E9">
        <w:t xml:space="preserve">Eesti valitsus on viimastel aastatel ellu viinud nn rohelist maksureformi, mille eesmärk on </w:t>
      </w:r>
      <w:r w:rsidRPr="001849E9">
        <w:rPr>
          <w:b/>
        </w:rPr>
        <w:t>keskkonnamaksude osakaalu suurendamine ja tööjõumaksude vähendamine</w:t>
      </w:r>
      <w:r w:rsidRPr="001849E9">
        <w:t xml:space="preserve">. Sama suunda tuleb hoida ka edaspidi, võttes arvesse erinevate sektorite kohanemisvõimalusi keskkonnasäästliku majanduse vajadustega. </w:t>
      </w:r>
      <w:r>
        <w:t>Uue keskkonnatasude kontseptsiooni koostamisel</w:t>
      </w:r>
      <w:r w:rsidRPr="001849E9">
        <w:t xml:space="preserve"> tuleb põhjalikult analüüsida </w:t>
      </w:r>
      <w:r w:rsidRPr="00890C6E">
        <w:t xml:space="preserve">keskkonnakasutuse väliskulu ning põlevkivisektori optimaalse tasustamise </w:t>
      </w:r>
      <w:r>
        <w:t xml:space="preserve">võimalusi. </w:t>
      </w:r>
      <w:r w:rsidRPr="001849E9">
        <w:t xml:space="preserve">Samuti vajab tähelepanu </w:t>
      </w:r>
      <w:r w:rsidRPr="001849E9">
        <w:rPr>
          <w:b/>
        </w:rPr>
        <w:t>keskkonnatasude järelevalve tõhusus</w:t>
      </w:r>
      <w:r w:rsidRPr="001849E9">
        <w:t xml:space="preserve"> ning keskkonnatasudest </w:t>
      </w:r>
      <w:r w:rsidRPr="001849E9">
        <w:rPr>
          <w:b/>
        </w:rPr>
        <w:t>laekunud raha kasutamise efektiivsus</w:t>
      </w:r>
      <w:r w:rsidRPr="001849E9">
        <w:t xml:space="preserve">. </w:t>
      </w:r>
      <w:r w:rsidRPr="00B01F62">
        <w:t xml:space="preserve">Ettevõtluskeskkonna konkurentsivõime huvides on vaja tagada, et ettevõtjatele oleks ressursi- ja keskkonnatasud </w:t>
      </w:r>
      <w:r>
        <w:t>piisavalt ette</w:t>
      </w:r>
      <w:r w:rsidRPr="00B01F62">
        <w:t xml:space="preserve"> teada</w:t>
      </w:r>
      <w:r>
        <w:t xml:space="preserve">. </w:t>
      </w:r>
    </w:p>
    <w:p w:rsidR="00402682" w:rsidRPr="001849E9" w:rsidRDefault="00402682" w:rsidP="00B762E0">
      <w:pPr>
        <w:autoSpaceDE w:val="0"/>
        <w:autoSpaceDN w:val="0"/>
        <w:adjustRightInd w:val="0"/>
        <w:jc w:val="both"/>
      </w:pPr>
    </w:p>
    <w:p w:rsidR="000619E3" w:rsidRDefault="000619E3" w:rsidP="000619E3">
      <w:pPr>
        <w:autoSpaceDE w:val="0"/>
        <w:autoSpaceDN w:val="0"/>
        <w:adjustRightInd w:val="0"/>
        <w:jc w:val="both"/>
      </w:pPr>
      <w:r>
        <w:t>Kliimapoliitika kontekstis on oluline</w:t>
      </w:r>
      <w:r w:rsidRPr="0024230F">
        <w:t xml:space="preserve"> keskenduda </w:t>
      </w:r>
      <w:r w:rsidRPr="0024230F">
        <w:rPr>
          <w:b/>
        </w:rPr>
        <w:t>kauplemissüsteemi väliste sektorite energia- ja ressursisäästu edendamisele</w:t>
      </w:r>
      <w:r w:rsidRPr="0024230F">
        <w:t>.</w:t>
      </w:r>
      <w:r>
        <w:t xml:space="preserve"> Käivitamisel on  </w:t>
      </w:r>
      <w:r w:rsidRPr="000619E3">
        <w:t>tööstusettevõtetele suunatud energia- ja ressursitõhususe meede, mis on mõeldud ressursi- ja energiasäästuvõimalustest teavitamiseks ning süsteemse ressursikasutuse analüüsi ja</w:t>
      </w:r>
      <w:r>
        <w:t xml:space="preserve"> vastavate investeeringute soodustamiseks. </w:t>
      </w:r>
      <w:r w:rsidRPr="000B3BF9">
        <w:t>Investeeringute eesmärk on vähendada ühe toodangu ühiku kohta kuluva ressursi kogu</w:t>
      </w:r>
      <w:r>
        <w:t>st ja suurendada Eesti ressursi</w:t>
      </w:r>
      <w:r w:rsidRPr="000B3BF9">
        <w:t>tootlikkust</w:t>
      </w:r>
      <w:r>
        <w:t xml:space="preserve">. Ressursside efektiivsemale kasutamisele suunatud teadus- ja arendustegevuse toetamine ning uute lahenduste kasutusele võtmine aitab tõsta majanduse rahvusvahelist konkurentsivõimet. </w:t>
      </w:r>
    </w:p>
    <w:p w:rsidR="000619E3" w:rsidRDefault="000619E3" w:rsidP="000619E3">
      <w:pPr>
        <w:autoSpaceDE w:val="0"/>
        <w:autoSpaceDN w:val="0"/>
        <w:adjustRightInd w:val="0"/>
        <w:jc w:val="both"/>
      </w:pPr>
    </w:p>
    <w:p w:rsidR="00306EC2" w:rsidRDefault="00306EC2" w:rsidP="00306EC2">
      <w:pPr>
        <w:autoSpaceDE w:val="0"/>
        <w:autoSpaceDN w:val="0"/>
        <w:adjustRightInd w:val="0"/>
        <w:jc w:val="both"/>
      </w:pPr>
      <w:r>
        <w:t xml:space="preserve">Eestis on arenenud jäätmete </w:t>
      </w:r>
      <w:proofErr w:type="spellStart"/>
      <w:r>
        <w:t>kogumistaristu</w:t>
      </w:r>
      <w:proofErr w:type="spellEnd"/>
      <w:r>
        <w:t xml:space="preserve"> ning kasvanud jäätmete taaskasutuse, sh ringlussevõtu osakaal. Siiski</w:t>
      </w:r>
      <w:r w:rsidRPr="00C07C66">
        <w:t xml:space="preserve"> vajab juba loodud </w:t>
      </w:r>
      <w:proofErr w:type="spellStart"/>
      <w:r w:rsidRPr="00C07C66">
        <w:t>jäätmekäitlustaristu</w:t>
      </w:r>
      <w:proofErr w:type="spellEnd"/>
      <w:r w:rsidRPr="00C07C66">
        <w:t xml:space="preserve"> kohati tihendamist just teatud jäätmeliikide käitlusvõimsuste osas ning uute lahendustega täiendamist, et aidata kaasa aastaks 2020 seatud jäätmete ringlussevõtu sihtarvude täitmisele. </w:t>
      </w:r>
      <w:r>
        <w:t xml:space="preserve">Seetõttu jätkatakse ka uuel EL rahastamisperioodil jäätmete korduskasutuseks ettevalmistamise ja ringlussevõtu edendamise toetamisega. </w:t>
      </w:r>
      <w:r w:rsidRPr="0024230F">
        <w:t xml:space="preserve">Jäätmetekke </w:t>
      </w:r>
      <w:r>
        <w:t xml:space="preserve">vältimine, korduskasutuseks ettevalmistamine ja ringlussevõtt </w:t>
      </w:r>
      <w:r w:rsidRPr="0024230F">
        <w:t>on prioritee</w:t>
      </w:r>
      <w:r>
        <w:t>tideks ka Riigi jäätmekavas 2014-2020</w:t>
      </w:r>
      <w:r w:rsidRPr="0024230F">
        <w:rPr>
          <w:rStyle w:val="FootnoteReference"/>
        </w:rPr>
        <w:footnoteReference w:id="6"/>
      </w:r>
      <w:r>
        <w:t xml:space="preserve">. Jäätmete ladestamise vähendamise ja ringlussevõtu edendamise kõrval tuleb edaspidi enam tähelepanu pöörata </w:t>
      </w:r>
      <w:r w:rsidRPr="004774F4">
        <w:rPr>
          <w:b/>
        </w:rPr>
        <w:t>jäätmetekke vältimisele ja vähendamisele</w:t>
      </w:r>
      <w:r w:rsidRPr="00B01F62">
        <w:t xml:space="preserve">. </w:t>
      </w:r>
      <w:r>
        <w:t xml:space="preserve">Põlevkivitööstuses tekkivate jäätmete, nagu aheraine ja põlevkivituhk, suure osakaalu tõttu üldises jäätmetekkes on oluline leida neile erinevaid </w:t>
      </w:r>
      <w:r w:rsidRPr="00F20CDC">
        <w:rPr>
          <w:b/>
        </w:rPr>
        <w:t>taaskasutusviise</w:t>
      </w:r>
      <w:r>
        <w:t xml:space="preserve"> ja suurendada nende materjalide </w:t>
      </w:r>
      <w:r w:rsidRPr="00F20CDC">
        <w:rPr>
          <w:b/>
        </w:rPr>
        <w:t>taaskasutamist</w:t>
      </w:r>
      <w:r>
        <w:t xml:space="preserve"> (nt aherainest toodetud killustiku laialdasem kasutus).</w:t>
      </w:r>
    </w:p>
    <w:p w:rsidR="008B6750" w:rsidRPr="00B01F62" w:rsidRDefault="008B6750" w:rsidP="00B762E0">
      <w:pPr>
        <w:autoSpaceDE w:val="0"/>
        <w:autoSpaceDN w:val="0"/>
        <w:adjustRightInd w:val="0"/>
        <w:jc w:val="both"/>
      </w:pPr>
    </w:p>
    <w:p w:rsidR="00530DC2" w:rsidRDefault="00B762E0" w:rsidP="00B762E0">
      <w:pPr>
        <w:autoSpaceDE w:val="0"/>
        <w:autoSpaceDN w:val="0"/>
        <w:adjustRightInd w:val="0"/>
        <w:jc w:val="both"/>
      </w:pPr>
      <w:r w:rsidRPr="0024230F">
        <w:t xml:space="preserve">Eesti looduslikud tingimused toetavad metsa- ja põllumajandusmaa kasutamise tõhustamist, mis loob eeldused taastuvressursside edasiseks </w:t>
      </w:r>
      <w:proofErr w:type="spellStart"/>
      <w:r w:rsidRPr="0024230F">
        <w:t>väärindamiseks</w:t>
      </w:r>
      <w:proofErr w:type="spellEnd"/>
      <w:r w:rsidRPr="0024230F">
        <w:t xml:space="preserve"> ja kasutamiseks toiduainete- ja puidutööstuses ning energeetikas. </w:t>
      </w:r>
      <w:r w:rsidR="00530DC2">
        <w:t>Metsa kasvupotentsiaali tuleb säilitada ning p</w:t>
      </w:r>
      <w:r w:rsidR="00530DC2" w:rsidRPr="004F67D8">
        <w:t>uidu kui taastuvressursi kasutuselevõttu kestliku kasutusmahu piires lihtsustada</w:t>
      </w:r>
      <w:r w:rsidR="00530DC2">
        <w:t xml:space="preserve"> -</w:t>
      </w:r>
      <w:r w:rsidR="00530DC2" w:rsidRPr="00CA2675">
        <w:t xml:space="preserve"> </w:t>
      </w:r>
      <w:r w:rsidR="00530DC2">
        <w:t xml:space="preserve">soodustada suurema </w:t>
      </w:r>
      <w:r w:rsidR="00530DC2">
        <w:lastRenderedPageBreak/>
        <w:t>juurdekasvuga uue metsapõlve saamiseni viivaid uuendusraieid küpsetes metsades ning toetada sellele järgnevat metsa uuendamist ja kasvatamist</w:t>
      </w:r>
      <w:r w:rsidR="00D406DA">
        <w:t>.</w:t>
      </w:r>
      <w:r w:rsidR="00530DC2">
        <w:t xml:space="preserve"> Metsade loodusväärtusi kaitstakse ning vastavalt nende olemasolule ja seisundile ajakohastatakse pidevalt </w:t>
      </w:r>
      <w:r w:rsidR="00306EC2">
        <w:t xml:space="preserve">kaitstavate </w:t>
      </w:r>
      <w:r w:rsidR="00530DC2" w:rsidRPr="00FF1EA2">
        <w:t>alade</w:t>
      </w:r>
      <w:r w:rsidR="00530DC2">
        <w:t xml:space="preserve"> olemit </w:t>
      </w:r>
      <w:r w:rsidR="00530DC2" w:rsidRPr="00FF1EA2">
        <w:t>ja kaitsemeetme</w:t>
      </w:r>
      <w:r w:rsidR="00530DC2">
        <w:t xml:space="preserve">id. </w:t>
      </w:r>
    </w:p>
    <w:p w:rsidR="002326C7" w:rsidRDefault="002326C7" w:rsidP="00B762E0">
      <w:pPr>
        <w:autoSpaceDE w:val="0"/>
        <w:autoSpaceDN w:val="0"/>
        <w:adjustRightInd w:val="0"/>
        <w:jc w:val="both"/>
      </w:pPr>
    </w:p>
    <w:p w:rsidR="00B762E0" w:rsidRDefault="00B762E0" w:rsidP="00B762E0">
      <w:pPr>
        <w:autoSpaceDE w:val="0"/>
        <w:autoSpaceDN w:val="0"/>
        <w:adjustRightInd w:val="0"/>
        <w:jc w:val="both"/>
      </w:pPr>
      <w:r w:rsidRPr="0024230F">
        <w:t xml:space="preserve">Valdkonna teadus- ja arendustegevus peaks otsima lahendusi, kuidas Eestis </w:t>
      </w:r>
      <w:r w:rsidR="00530DC2">
        <w:t xml:space="preserve">taastuvressursse efektiivselt majandada ning </w:t>
      </w:r>
      <w:r w:rsidRPr="0024230F">
        <w:rPr>
          <w:b/>
        </w:rPr>
        <w:t xml:space="preserve">olemasolevat biomassi </w:t>
      </w:r>
      <w:proofErr w:type="spellStart"/>
      <w:r w:rsidRPr="0024230F">
        <w:rPr>
          <w:b/>
        </w:rPr>
        <w:t>väärindada</w:t>
      </w:r>
      <w:proofErr w:type="spellEnd"/>
      <w:r w:rsidRPr="0024230F">
        <w:t xml:space="preserve"> ehk toota sellest võimalikult suure väärtusega tooteid. Üheks biomajanduse väljundiks on </w:t>
      </w:r>
      <w:r w:rsidRPr="0024230F">
        <w:rPr>
          <w:b/>
        </w:rPr>
        <w:t>transpordisektori keskkonnamõju vähendamine</w:t>
      </w:r>
      <w:r w:rsidRPr="0024230F">
        <w:t xml:space="preserve">, seda eelkõige </w:t>
      </w:r>
      <w:r w:rsidRPr="00DC42F6">
        <w:rPr>
          <w:b/>
        </w:rPr>
        <w:t xml:space="preserve">biogaasi ulatuslikuma </w:t>
      </w:r>
      <w:r>
        <w:rPr>
          <w:b/>
        </w:rPr>
        <w:t>kasutam</w:t>
      </w:r>
      <w:r w:rsidRPr="00DC42F6">
        <w:rPr>
          <w:b/>
        </w:rPr>
        <w:t>ise</w:t>
      </w:r>
      <w:r>
        <w:t xml:space="preserve"> </w:t>
      </w:r>
      <w:r w:rsidRPr="0024230F">
        <w:t xml:space="preserve">näol transpordisektoris fossiilsete kütuste </w:t>
      </w:r>
      <w:r>
        <w:t>osakaalu</w:t>
      </w:r>
      <w:r w:rsidRPr="0024230F">
        <w:t xml:space="preserve"> vähendamiseks. Optimaalsema ressursikasutuse ja keskkonnamõju vähendamiseks on oluline välja töötada ja rakendada meetmeid, millega arendatakse </w:t>
      </w:r>
      <w:r w:rsidRPr="00B52B42">
        <w:rPr>
          <w:b/>
        </w:rPr>
        <w:t>keskkonnasäästlikumat ühistransporti,</w:t>
      </w:r>
      <w:r>
        <w:rPr>
          <w:b/>
        </w:rPr>
        <w:t xml:space="preserve"> kaubavedu,</w:t>
      </w:r>
      <w:r w:rsidRPr="00B52B42">
        <w:rPr>
          <w:b/>
        </w:rPr>
        <w:t xml:space="preserve"> liikluskorraldust</w:t>
      </w:r>
      <w:r w:rsidRPr="0024230F">
        <w:t xml:space="preserve"> ja rohekoridore linnades.</w:t>
      </w:r>
    </w:p>
    <w:p w:rsidR="00566DFE" w:rsidRDefault="00566DFE" w:rsidP="00B762E0">
      <w:pPr>
        <w:autoSpaceDE w:val="0"/>
        <w:autoSpaceDN w:val="0"/>
        <w:adjustRightInd w:val="0"/>
        <w:jc w:val="both"/>
      </w:pPr>
    </w:p>
    <w:p w:rsidR="00566DFE" w:rsidRPr="0024230F" w:rsidRDefault="00566DFE" w:rsidP="00B762E0">
      <w:pPr>
        <w:autoSpaceDE w:val="0"/>
        <w:autoSpaceDN w:val="0"/>
        <w:adjustRightInd w:val="0"/>
        <w:jc w:val="both"/>
      </w:pPr>
      <w:r w:rsidRPr="00B20A7A">
        <w:t xml:space="preserve">Ehitussektoris tuleb </w:t>
      </w:r>
      <w:r w:rsidR="00B1599E" w:rsidRPr="00B1599E">
        <w:rPr>
          <w:b/>
        </w:rPr>
        <w:t>soodustada olelusringipõhist lähenemist</w:t>
      </w:r>
      <w:r w:rsidRPr="00B20A7A">
        <w:t>. See tähendab eelk</w:t>
      </w:r>
      <w:r>
        <w:t>õige hoonete ehitamist ja rekonst</w:t>
      </w:r>
      <w:r w:rsidRPr="00B20A7A">
        <w:t xml:space="preserve">rueerimist energiatõhusalt, ehitamisel taastuvate ja säästvate materjalide kasutamist ning ehitiste lammutamisel tekkinud jäätmete ringlussevõtu </w:t>
      </w:r>
      <w:r w:rsidR="00306EC2">
        <w:t xml:space="preserve">ja korduvkasutamiseks ettevalmistamise </w:t>
      </w:r>
      <w:r w:rsidRPr="00B20A7A">
        <w:t>soodustamist.</w:t>
      </w:r>
      <w:r>
        <w:t xml:space="preserve"> </w:t>
      </w:r>
      <w:r w:rsidR="00C55EF2">
        <w:t xml:space="preserve">Jätkata tuleb </w:t>
      </w:r>
      <w:r w:rsidRPr="00B20A7A">
        <w:t>maastikupilti kahjustavate ja kasutusest väljalangenud ehitiste</w:t>
      </w:r>
      <w:r>
        <w:t xml:space="preserve"> (põllumajandus-, tööstus-, militaarehitiste)</w:t>
      </w:r>
      <w:r w:rsidRPr="00B20A7A">
        <w:t xml:space="preserve"> lammutamist ja sellest tekkinud jäätmete käitlemist, sealhulgas taaskasutuse ja ringlussevõtu soodustamist </w:t>
      </w:r>
      <w:r>
        <w:t>ning</w:t>
      </w:r>
      <w:r w:rsidRPr="00B20A7A">
        <w:t xml:space="preserve"> maa-ala koristamist.</w:t>
      </w:r>
    </w:p>
    <w:p w:rsidR="00B762E0" w:rsidRPr="0024230F" w:rsidRDefault="00B762E0" w:rsidP="00B762E0">
      <w:pPr>
        <w:pStyle w:val="BodyText3"/>
        <w:spacing w:after="0"/>
        <w:jc w:val="both"/>
        <w:rPr>
          <w:sz w:val="24"/>
          <w:szCs w:val="24"/>
        </w:rPr>
      </w:pPr>
      <w:r w:rsidRPr="0024230F">
        <w:rPr>
          <w:sz w:val="24"/>
          <w:szCs w:val="24"/>
        </w:rPr>
        <w:t xml:space="preserve"> </w:t>
      </w:r>
    </w:p>
    <w:p w:rsidR="00B14282" w:rsidRPr="00D658B4" w:rsidRDefault="00B762E0" w:rsidP="00D658B4">
      <w:pPr>
        <w:pStyle w:val="BodyText3"/>
        <w:spacing w:after="0"/>
        <w:jc w:val="both"/>
        <w:rPr>
          <w:sz w:val="24"/>
          <w:szCs w:val="24"/>
        </w:rPr>
      </w:pPr>
      <w:r w:rsidRPr="0024230F">
        <w:rPr>
          <w:sz w:val="24"/>
          <w:szCs w:val="24"/>
        </w:rPr>
        <w:t>Tööstuse konkurentsivõime tagamiseks on vajalik tõhus ja turvaline juurdepääs toorainele ning tagada nende varustuskindlus</w:t>
      </w:r>
      <w:r w:rsidRPr="0024230F">
        <w:rPr>
          <w:rStyle w:val="FootnoteReference"/>
          <w:sz w:val="24"/>
          <w:szCs w:val="24"/>
        </w:rPr>
        <w:footnoteReference w:id="7"/>
      </w:r>
      <w:r w:rsidR="0025751A">
        <w:rPr>
          <w:sz w:val="24"/>
          <w:szCs w:val="24"/>
        </w:rPr>
        <w:t>. Loodus</w:t>
      </w:r>
      <w:r w:rsidRPr="0024230F">
        <w:rPr>
          <w:sz w:val="24"/>
          <w:szCs w:val="24"/>
        </w:rPr>
        <w:t xml:space="preserve">varade efektiivseks ja eesmärgipäraseks kasutamiseks on oluline </w:t>
      </w:r>
      <w:r w:rsidRPr="0024230F">
        <w:rPr>
          <w:b/>
          <w:sz w:val="24"/>
          <w:szCs w:val="24"/>
        </w:rPr>
        <w:t>ajakohastada maapõuealased õigusaktid</w:t>
      </w:r>
      <w:r w:rsidR="0025751A">
        <w:rPr>
          <w:b/>
          <w:sz w:val="24"/>
          <w:szCs w:val="24"/>
        </w:rPr>
        <w:t xml:space="preserve"> </w:t>
      </w:r>
      <w:r w:rsidR="0025751A" w:rsidRPr="0025751A">
        <w:rPr>
          <w:sz w:val="24"/>
          <w:szCs w:val="24"/>
        </w:rPr>
        <w:t>ning</w:t>
      </w:r>
      <w:r w:rsidR="0025751A">
        <w:rPr>
          <w:sz w:val="24"/>
          <w:szCs w:val="24"/>
        </w:rPr>
        <w:t xml:space="preserve"> </w:t>
      </w:r>
      <w:r w:rsidR="00374E1B">
        <w:rPr>
          <w:sz w:val="24"/>
          <w:szCs w:val="24"/>
        </w:rPr>
        <w:t xml:space="preserve">välja töötada maapõuepoliitika põhialused. </w:t>
      </w:r>
      <w:r w:rsidRPr="0024230F">
        <w:rPr>
          <w:sz w:val="24"/>
          <w:szCs w:val="24"/>
        </w:rPr>
        <w:t xml:space="preserve">Tagamaks pikaajalist varustatust ökosüsteemiteenustega ja soodustamaks uute ettevõtlusvõimaluste loomist, tuleb ökosüsteemide poolt pakutavaid teenuseid majanduslikult õigesti väärtustada. Seega on oluline </w:t>
      </w:r>
      <w:r w:rsidRPr="0024230F">
        <w:rPr>
          <w:b/>
          <w:bCs/>
          <w:sz w:val="24"/>
          <w:szCs w:val="24"/>
        </w:rPr>
        <w:t xml:space="preserve">ökosüsteemiteenuste </w:t>
      </w:r>
      <w:r w:rsidR="00CA2675">
        <w:rPr>
          <w:b/>
          <w:bCs/>
          <w:sz w:val="24"/>
          <w:szCs w:val="24"/>
        </w:rPr>
        <w:t xml:space="preserve">kaardistamise metoodika väljatöötamine ja ökosüsteemiteenuste hindamine </w:t>
      </w:r>
      <w:r w:rsidRPr="0024230F">
        <w:rPr>
          <w:sz w:val="24"/>
          <w:szCs w:val="24"/>
        </w:rPr>
        <w:t xml:space="preserve"> nende majanduslikku väärtust arvestavate ettevõtlusvõimaluste loomiseks.</w:t>
      </w:r>
    </w:p>
    <w:p w:rsidR="00EA07B2" w:rsidRPr="008D5ABD" w:rsidRDefault="0074603A" w:rsidP="00EA07B2">
      <w:pPr>
        <w:pStyle w:val="ldpealkirjaalapealkiri"/>
        <w:rPr>
          <w:b/>
          <w:bCs/>
        </w:rPr>
      </w:pPr>
      <w:r>
        <w:rPr>
          <w:b/>
          <w:bCs/>
        </w:rPr>
        <w:br w:type="page"/>
      </w:r>
      <w:r w:rsidR="00EA07B2" w:rsidRPr="008D5ABD">
        <w:rPr>
          <w:b/>
          <w:bCs/>
        </w:rPr>
        <w:lastRenderedPageBreak/>
        <w:t>Jätkusuutlik ja kohanduv riik</w:t>
      </w:r>
    </w:p>
    <w:p w:rsidR="00F33C5D" w:rsidRDefault="00F33C5D" w:rsidP="00AA004F">
      <w:pPr>
        <w:jc w:val="both"/>
      </w:pPr>
    </w:p>
    <w:p w:rsidR="004F31D1" w:rsidRDefault="004F31D1" w:rsidP="004F31D1">
      <w:pPr>
        <w:jc w:val="both"/>
      </w:pPr>
      <w:r>
        <w:t>Valdkond jätkusuutlik ja kohanduv riik hõlmab endas valitsuse tegevusi, mis on suunatud makromajandusliku stabiilsuse suurendamisele ning majanduskeskkonna üldiselt soodsa keskkonna loomisele, see tähendab peamiselt maksu- ja eelarvepoliitikat ning lisaks valitsussektori enda arendamisega seotud tegevusi.</w:t>
      </w:r>
    </w:p>
    <w:p w:rsidR="004F31D1" w:rsidRDefault="004F31D1" w:rsidP="004F31D1">
      <w:pPr>
        <w:jc w:val="both"/>
      </w:pPr>
    </w:p>
    <w:p w:rsidR="004F31D1" w:rsidRDefault="004F31D1" w:rsidP="004F31D1">
      <w:pPr>
        <w:pStyle w:val="ldpealkirjaalapealkiri"/>
        <w:spacing w:before="120" w:after="120"/>
        <w:jc w:val="both"/>
        <w:rPr>
          <w:rFonts w:ascii="Garamond" w:hAnsi="Garamond"/>
          <w:b/>
          <w:bCs/>
          <w:color w:val="000080"/>
          <w:sz w:val="24"/>
        </w:rPr>
      </w:pPr>
      <w:r>
        <w:rPr>
          <w:rFonts w:ascii="Garamond" w:hAnsi="Garamond"/>
          <w:b/>
          <w:bCs/>
          <w:color w:val="000080"/>
          <w:sz w:val="24"/>
        </w:rPr>
        <w:t>Eesti 2020 eesmärgid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4F31D1" w:rsidRPr="003675F2" w:rsidTr="000D29B5">
        <w:trPr>
          <w:trHeight w:val="70"/>
        </w:trPr>
        <w:tc>
          <w:tcPr>
            <w:tcW w:w="9212" w:type="dxa"/>
            <w:gridSpan w:val="3"/>
            <w:shd w:val="clear" w:color="auto" w:fill="CCECFF"/>
            <w:vAlign w:val="center"/>
          </w:tcPr>
          <w:p w:rsidR="004F31D1" w:rsidRPr="003675F2" w:rsidRDefault="004F31D1" w:rsidP="000D29B5">
            <w:pPr>
              <w:rPr>
                <w:b/>
              </w:rPr>
            </w:pPr>
            <w:r>
              <w:rPr>
                <w:b/>
              </w:rPr>
              <w:t>Valitsussektori struktuurselt tasandatud eelarveülejäägi hoidmine</w:t>
            </w:r>
          </w:p>
        </w:tc>
      </w:tr>
      <w:tr w:rsidR="004F31D1" w:rsidRPr="003675F2" w:rsidTr="000D29B5">
        <w:tc>
          <w:tcPr>
            <w:tcW w:w="3070" w:type="dxa"/>
            <w:vAlign w:val="center"/>
          </w:tcPr>
          <w:p w:rsidR="004F31D1" w:rsidRPr="003675F2" w:rsidRDefault="004F31D1" w:rsidP="000D29B5">
            <w:pPr>
              <w:jc w:val="center"/>
              <w:rPr>
                <w:b/>
              </w:rPr>
            </w:pPr>
            <w:r>
              <w:rPr>
                <w:b/>
              </w:rPr>
              <w:t>Algtase</w:t>
            </w:r>
            <w:r w:rsidRPr="003675F2">
              <w:rPr>
                <w:b/>
              </w:rPr>
              <w:t xml:space="preserve"> 2010</w:t>
            </w:r>
          </w:p>
        </w:tc>
        <w:tc>
          <w:tcPr>
            <w:tcW w:w="3071" w:type="dxa"/>
            <w:vAlign w:val="center"/>
          </w:tcPr>
          <w:p w:rsidR="004F31D1" w:rsidRPr="003675F2" w:rsidRDefault="004F31D1" w:rsidP="000D29B5">
            <w:pPr>
              <w:jc w:val="center"/>
              <w:rPr>
                <w:b/>
              </w:rPr>
            </w:pPr>
            <w:r w:rsidRPr="003675F2">
              <w:rPr>
                <w:b/>
              </w:rPr>
              <w:t>Eesti eesmärk 2015</w:t>
            </w:r>
          </w:p>
        </w:tc>
        <w:tc>
          <w:tcPr>
            <w:tcW w:w="3071" w:type="dxa"/>
            <w:vAlign w:val="center"/>
          </w:tcPr>
          <w:p w:rsidR="004F31D1" w:rsidRPr="003675F2" w:rsidRDefault="004F31D1" w:rsidP="000D29B5">
            <w:pPr>
              <w:jc w:val="center"/>
              <w:rPr>
                <w:b/>
              </w:rPr>
            </w:pPr>
            <w:r w:rsidRPr="003675F2">
              <w:rPr>
                <w:b/>
              </w:rPr>
              <w:t>Eesti eesmärk 2020</w:t>
            </w:r>
          </w:p>
        </w:tc>
      </w:tr>
      <w:tr w:rsidR="004F31D1" w:rsidRPr="003675F2" w:rsidTr="000D29B5">
        <w:tc>
          <w:tcPr>
            <w:tcW w:w="3070" w:type="dxa"/>
            <w:vAlign w:val="center"/>
          </w:tcPr>
          <w:p w:rsidR="004F31D1" w:rsidRPr="003675F2" w:rsidRDefault="004F31D1" w:rsidP="000D29B5">
            <w:pPr>
              <w:jc w:val="center"/>
              <w:rPr>
                <w:b/>
              </w:rPr>
            </w:pPr>
            <w:r>
              <w:rPr>
                <w:b/>
              </w:rPr>
              <w:t>0,1</w:t>
            </w:r>
            <w:r w:rsidRPr="003675F2">
              <w:rPr>
                <w:b/>
              </w:rPr>
              <w:t>%</w:t>
            </w:r>
          </w:p>
        </w:tc>
        <w:tc>
          <w:tcPr>
            <w:tcW w:w="3071" w:type="dxa"/>
            <w:vAlign w:val="center"/>
          </w:tcPr>
          <w:p w:rsidR="004F31D1" w:rsidRPr="003675F2" w:rsidRDefault="004F31D1" w:rsidP="000D29B5">
            <w:pPr>
              <w:jc w:val="center"/>
              <w:rPr>
                <w:b/>
              </w:rPr>
            </w:pPr>
            <w:r w:rsidRPr="006A4B02">
              <w:rPr>
                <w:b/>
              </w:rPr>
              <w:t>0,</w:t>
            </w:r>
            <w:r>
              <w:rPr>
                <w:b/>
              </w:rPr>
              <w:t>2</w:t>
            </w:r>
            <w:r w:rsidRPr="006A4B02">
              <w:rPr>
                <w:b/>
              </w:rPr>
              <w:t>%</w:t>
            </w:r>
          </w:p>
        </w:tc>
        <w:tc>
          <w:tcPr>
            <w:tcW w:w="3071" w:type="dxa"/>
            <w:vAlign w:val="center"/>
          </w:tcPr>
          <w:p w:rsidR="004F31D1" w:rsidRPr="003675F2" w:rsidRDefault="004F31D1" w:rsidP="000D29B5">
            <w:pPr>
              <w:jc w:val="center"/>
              <w:rPr>
                <w:b/>
              </w:rPr>
            </w:pPr>
            <w:r>
              <w:rPr>
                <w:b/>
              </w:rPr>
              <w:t>0,0% või ülejääk (vastavalt riigieelarve seadusele)</w:t>
            </w:r>
          </w:p>
        </w:tc>
      </w:tr>
    </w:tbl>
    <w:p w:rsidR="004F31D1" w:rsidRDefault="004F31D1" w:rsidP="004F31D1">
      <w:pPr>
        <w:jc w:val="both"/>
      </w:pPr>
    </w:p>
    <w:p w:rsidR="004F31D1" w:rsidRDefault="004F31D1" w:rsidP="004F31D1">
      <w:pPr>
        <w:jc w:val="both"/>
      </w:pPr>
      <w:r>
        <w:t>Valitsuse eesmärgiks on jätkusuutlik eelarvepoliitika. R</w:t>
      </w:r>
      <w:r w:rsidRPr="00BF2504">
        <w:t>iigieelarve maht</w:t>
      </w:r>
      <w:r>
        <w:t xml:space="preserve"> on</w:t>
      </w:r>
      <w:r w:rsidRPr="00BF2504">
        <w:t xml:space="preserve"> püsinud viimastel a</w:t>
      </w:r>
      <w:r>
        <w:t>astatel suhteliselt stabiilsena, alates 2002</w:t>
      </w:r>
      <w:r w:rsidRPr="00BF2504">
        <w:t>. aastast ülejäägis olnud eelarve (1,5</w:t>
      </w:r>
      <w:r w:rsidRPr="0015734D">
        <w:t>–</w:t>
      </w:r>
      <w:r w:rsidRPr="00BF2504">
        <w:t xml:space="preserve">2,5% SKPst) asendus </w:t>
      </w:r>
      <w:r>
        <w:t xml:space="preserve">majanduskriisi ajal </w:t>
      </w:r>
      <w:r w:rsidRPr="00BF2504">
        <w:t>2008. ja 2009. aastal paariprotsendise defitsiidiga</w:t>
      </w:r>
      <w:r w:rsidRPr="00D84955">
        <w:t>. Aastatel 2010 ja 2011 oli Eesti valitsussektor uuesti nominaalses ülejäägis,</w:t>
      </w:r>
      <w:r>
        <w:t xml:space="preserve"> aastatel 2012 ja 2013 väikeses puudujäägis ning 2014 ja 2015 taas ca pooleprotsendises ülejäägis,</w:t>
      </w:r>
      <w:r w:rsidRPr="00D84955">
        <w:t xml:space="preserve"> samas struktuurses ülejäägis on eelarvepositsioon olnud juba 2009. aastast. </w:t>
      </w:r>
      <w:r>
        <w:t>N</w:t>
      </w:r>
      <w:r w:rsidRPr="00647CCB">
        <w:t>ominaalset puudujääki põhjusta</w:t>
      </w:r>
      <w:r>
        <w:t>si</w:t>
      </w:r>
      <w:r w:rsidRPr="00647CCB">
        <w:t xml:space="preserve">d eelkõige </w:t>
      </w:r>
      <w:r>
        <w:t>ajutised ja ühekordsed kulud nagu</w:t>
      </w:r>
      <w:r w:rsidRPr="00647CCB">
        <w:t xml:space="preserve"> saastekvootide müügist saadud tuludega seotud investeeringud ning II pensionisamba lisamaksed, mis kokku ula</w:t>
      </w:r>
      <w:r>
        <w:t>tusid näiteks 2014. aastal 0,5%ni SKPst.</w:t>
      </w:r>
      <w:r w:rsidRPr="00BF2504">
        <w:t xml:space="preserve"> </w:t>
      </w:r>
      <w:r>
        <w:t>Struktuurse eelarveülejäägi saavutamine näitab, et struktuurseid jätkusuutlikkuse probleeme eelarves ei ole ning pärast ühekordsete mõjude kadumist paraneb ka nominaalne eelarvepositsioon.</w:t>
      </w:r>
    </w:p>
    <w:p w:rsidR="004F31D1" w:rsidRDefault="004F31D1" w:rsidP="00AA004F">
      <w:pPr>
        <w:jc w:val="both"/>
      </w:pPr>
    </w:p>
    <w:p w:rsidR="00BF2504" w:rsidRDefault="00BF2504" w:rsidP="00AA004F">
      <w:pPr>
        <w:jc w:val="both"/>
      </w:pPr>
    </w:p>
    <w:p w:rsidR="002B7B8C" w:rsidRDefault="002B7B8C" w:rsidP="002B7B8C">
      <w:pPr>
        <w:pStyle w:val="ldpealkirjaalapealkiri"/>
        <w:spacing w:before="120" w:after="120"/>
        <w:jc w:val="both"/>
        <w:rPr>
          <w:rFonts w:ascii="Garamond" w:hAnsi="Garamond"/>
          <w:b/>
          <w:bCs/>
          <w:color w:val="000080"/>
          <w:sz w:val="24"/>
        </w:rPr>
      </w:pPr>
      <w:r>
        <w:rPr>
          <w:rFonts w:ascii="Garamond" w:hAnsi="Garamond"/>
          <w:b/>
          <w:bCs/>
          <w:color w:val="000080"/>
          <w:sz w:val="24"/>
        </w:rPr>
        <w:t>Valitsuse poliitika põhisuunad</w:t>
      </w:r>
    </w:p>
    <w:p w:rsidR="006B2290" w:rsidRPr="00B83A51" w:rsidRDefault="00220ABA" w:rsidP="006B2290">
      <w:pPr>
        <w:shd w:val="clear" w:color="auto" w:fill="CCCCCC"/>
        <w:jc w:val="both"/>
      </w:pPr>
      <w:r>
        <w:rPr>
          <w:b/>
        </w:rPr>
        <w:t>14</w:t>
      </w:r>
      <w:r w:rsidR="006B2290" w:rsidRPr="00B83A51">
        <w:rPr>
          <w:b/>
        </w:rPr>
        <w:t>. Aastaks 201</w:t>
      </w:r>
      <w:r w:rsidR="00FC59D3">
        <w:rPr>
          <w:b/>
        </w:rPr>
        <w:t>4</w:t>
      </w:r>
      <w:r w:rsidR="006B2290" w:rsidRPr="00B83A51">
        <w:rPr>
          <w:b/>
        </w:rPr>
        <w:t xml:space="preserve"> ülejäägiga valitsussektori eelarvepositsioonini jõudmine </w:t>
      </w:r>
      <w:r w:rsidR="00D322C4">
        <w:rPr>
          <w:b/>
        </w:rPr>
        <w:t xml:space="preserve">ja </w:t>
      </w:r>
      <w:r w:rsidR="006B2290" w:rsidRPr="00B83A51">
        <w:rPr>
          <w:b/>
        </w:rPr>
        <w:t>selle säilitamine pikas perspektiivis</w:t>
      </w:r>
    </w:p>
    <w:p w:rsidR="006B2290" w:rsidRPr="00B83A51" w:rsidRDefault="006B2290" w:rsidP="006B2290">
      <w:pPr>
        <w:jc w:val="both"/>
      </w:pPr>
    </w:p>
    <w:p w:rsidR="006B2290" w:rsidRPr="00B83A51" w:rsidRDefault="00137028" w:rsidP="006B2290">
      <w:pPr>
        <w:jc w:val="both"/>
      </w:pPr>
      <w:r w:rsidRPr="00954E19">
        <w:t>Valitsus</w:t>
      </w:r>
      <w:r>
        <w:t>e</w:t>
      </w:r>
      <w:r w:rsidRPr="00954E19">
        <w:t xml:space="preserve"> </w:t>
      </w:r>
      <w:r w:rsidRPr="00954E19">
        <w:rPr>
          <w:b/>
          <w:bCs/>
        </w:rPr>
        <w:t xml:space="preserve">keskpika perioodi </w:t>
      </w:r>
      <w:r>
        <w:rPr>
          <w:b/>
          <w:bCs/>
        </w:rPr>
        <w:t xml:space="preserve">eelarvepositsiooni </w:t>
      </w:r>
      <w:r w:rsidRPr="00954E19">
        <w:rPr>
          <w:b/>
          <w:bCs/>
        </w:rPr>
        <w:t xml:space="preserve">eesmärgiks </w:t>
      </w:r>
      <w:r w:rsidRPr="00A742AB">
        <w:rPr>
          <w:bCs/>
        </w:rPr>
        <w:t>(</w:t>
      </w:r>
      <w:proofErr w:type="spellStart"/>
      <w:r w:rsidRPr="00B9680B">
        <w:rPr>
          <w:bCs/>
          <w:i/>
          <w:iCs/>
        </w:rPr>
        <w:t>medium-term</w:t>
      </w:r>
      <w:proofErr w:type="spellEnd"/>
      <w:r w:rsidRPr="00B9680B">
        <w:rPr>
          <w:bCs/>
          <w:i/>
          <w:iCs/>
        </w:rPr>
        <w:t xml:space="preserve"> </w:t>
      </w:r>
      <w:proofErr w:type="spellStart"/>
      <w:r w:rsidRPr="00B9680B">
        <w:rPr>
          <w:bCs/>
          <w:i/>
          <w:iCs/>
        </w:rPr>
        <w:t>objective</w:t>
      </w:r>
      <w:proofErr w:type="spellEnd"/>
      <w:r w:rsidRPr="00A742AB">
        <w:rPr>
          <w:bCs/>
        </w:rPr>
        <w:t>, MTO)</w:t>
      </w:r>
      <w:r w:rsidRPr="00954E19">
        <w:rPr>
          <w:b/>
          <w:bCs/>
        </w:rPr>
        <w:t xml:space="preserve"> on valitsus</w:t>
      </w:r>
      <w:r>
        <w:rPr>
          <w:b/>
          <w:bCs/>
        </w:rPr>
        <w:softHyphen/>
      </w:r>
      <w:r w:rsidRPr="00954E19">
        <w:rPr>
          <w:b/>
          <w:bCs/>
        </w:rPr>
        <w:t>sektori eelarve struktuurne ülejääk.</w:t>
      </w:r>
      <w:r>
        <w:rPr>
          <w:b/>
          <w:bCs/>
        </w:rPr>
        <w:t xml:space="preserve"> </w:t>
      </w:r>
      <w:r w:rsidR="006B2290" w:rsidRPr="00B83A51">
        <w:t xml:space="preserve">Valitsuse jaoks on ülejäägiga eelarvepositsioon peamine viis valmistuda pikemas perspektiivis </w:t>
      </w:r>
      <w:r w:rsidR="006B2290" w:rsidRPr="00B83A51">
        <w:rPr>
          <w:b/>
        </w:rPr>
        <w:t>demograafilistest arengutest tulenevaks negatiivseks surveks eelarvele</w:t>
      </w:r>
      <w:r w:rsidR="006B2290" w:rsidRPr="00B83A51">
        <w:t xml:space="preserve">. Ülejääk võimaldab seni kogutud ja majanduskriisi ajal kasutusele võetud riigi likviidsete finantsvahendite taastamise keskpikas perspektiivis ja tekitab puhvri majanduse võimalikeks tagasilöökideks tulevikus. Samuti kindlustub seeläbi tugeva rahanduspoliitikaga Eesti riigi maine ning tõuseb usaldusväärsus välisinvestorite silmis. Kasvu stimuleeriva ärikeskkonna üheks komponendiks on mõõdukas maksukoormus, jätmaks erainvestorite käsutusse piisavalt raha. Mõõdukas </w:t>
      </w:r>
      <w:r w:rsidR="006B2290" w:rsidRPr="00B83A51">
        <w:rPr>
          <w:b/>
        </w:rPr>
        <w:t>maksukoormus eeldab valitsussektori tulude ja kulude tasakaalu</w:t>
      </w:r>
      <w:r w:rsidR="006B2290" w:rsidRPr="00B83A51">
        <w:t xml:space="preserve"> keskpikas ja pikas ettevaates.</w:t>
      </w:r>
    </w:p>
    <w:p w:rsidR="006B2290" w:rsidRPr="00B83A51" w:rsidRDefault="006B2290" w:rsidP="006B2290">
      <w:pPr>
        <w:jc w:val="both"/>
      </w:pPr>
    </w:p>
    <w:p w:rsidR="00213A7E" w:rsidRDefault="006B2290" w:rsidP="006B2290">
      <w:pPr>
        <w:jc w:val="both"/>
      </w:pPr>
      <w:r w:rsidRPr="00B83A51">
        <w:t>Nagu kõik ELi liikmesriigid peab ka Eesti oma eelarvepoliitikat ellu viies arvestama sellega, et tegutseme ühises majandus- ja rahaliidus ning täitma endale võetud kohustusi (</w:t>
      </w:r>
      <w:r w:rsidR="00A216C6">
        <w:t>Euroopa Liidu asutamislepin</w:t>
      </w:r>
      <w:r w:rsidR="00137028">
        <w:t>gust ning S</w:t>
      </w:r>
      <w:r w:rsidR="00A216C6">
        <w:t>tabiilsuse ja kasvu paktist tulenevate nõuete järgimine</w:t>
      </w:r>
      <w:r w:rsidRPr="00B83A51">
        <w:t>, Euroopa p</w:t>
      </w:r>
      <w:r w:rsidR="00A216C6">
        <w:t>oolaastast tulenevad protsessid</w:t>
      </w:r>
      <w:r w:rsidRPr="00B83A51">
        <w:t>)</w:t>
      </w:r>
      <w:r w:rsidR="00A216C6">
        <w:t>.</w:t>
      </w:r>
      <w:r w:rsidRPr="00B83A51">
        <w:t xml:space="preserve"> Eesti jaoks on tähtis meetmete järgimine, mis aitavad liikmesriikidel oma eelarveid otsustavalt korrastada koos uue ja rangema ennetava </w:t>
      </w:r>
      <w:r w:rsidRPr="00B83A51">
        <w:lastRenderedPageBreak/>
        <w:t xml:space="preserve">režiimi kehtestamisega, vähendada avaliku sektori võlga ja seeläbi kriisijärgselt tõsta kogu euroala usaldusväärsust. </w:t>
      </w:r>
    </w:p>
    <w:p w:rsidR="00303E49" w:rsidRDefault="00303E49" w:rsidP="006B2290">
      <w:pPr>
        <w:jc w:val="both"/>
      </w:pPr>
    </w:p>
    <w:p w:rsidR="00213A7E" w:rsidRDefault="00501F30" w:rsidP="006B2290">
      <w:pPr>
        <w:jc w:val="both"/>
      </w:pPr>
      <w:r w:rsidRPr="00501F30">
        <w:t>Eesti valitsussektori eelarve on kriisijärgselt alates 2009. aastast struktuurses ülejäägis ehk vastav</w:t>
      </w:r>
      <w:r w:rsidR="00303E49">
        <w:t>uses püstitatud eesmärgiga. 2015</w:t>
      </w:r>
      <w:r w:rsidRPr="00501F30">
        <w:t xml:space="preserve">. aastal </w:t>
      </w:r>
      <w:r w:rsidR="00A8681E">
        <w:t xml:space="preserve">oli </w:t>
      </w:r>
      <w:r w:rsidRPr="00501F30">
        <w:t>eelarve</w:t>
      </w:r>
      <w:r w:rsidR="00303E49">
        <w:t xml:space="preserve"> </w:t>
      </w:r>
      <w:r w:rsidR="00721CAE">
        <w:t>struktuurne positsioon ülejäägiga</w:t>
      </w:r>
      <w:r w:rsidR="00B475F9">
        <w:t xml:space="preserve"> </w:t>
      </w:r>
      <w:r w:rsidR="00845CBB">
        <w:t>0,4</w:t>
      </w:r>
      <w:r w:rsidR="00B475F9">
        <w:t>%</w:t>
      </w:r>
      <w:r w:rsidRPr="00501F30">
        <w:t xml:space="preserve">. </w:t>
      </w:r>
      <w:r w:rsidR="00213A7E">
        <w:t>Valitsus</w:t>
      </w:r>
      <w:r w:rsidR="00F96A8A">
        <w:t>e</w:t>
      </w:r>
      <w:r w:rsidR="00213A7E">
        <w:t xml:space="preserve"> eesmärgiks </w:t>
      </w:r>
      <w:r w:rsidR="00F96A8A">
        <w:t xml:space="preserve">on </w:t>
      </w:r>
      <w:r>
        <w:t>valitsussektori</w:t>
      </w:r>
      <w:r w:rsidR="00213A7E" w:rsidRPr="00213A7E">
        <w:t xml:space="preserve"> </w:t>
      </w:r>
      <w:r>
        <w:t>ülejäägi</w:t>
      </w:r>
      <w:r w:rsidR="006D7CC8">
        <w:t>ga eelarvepositsioon</w:t>
      </w:r>
      <w:r w:rsidR="00FC59D3">
        <w:t xml:space="preserve"> </w:t>
      </w:r>
      <w:r w:rsidR="006D7CC8">
        <w:t>struktuurselt</w:t>
      </w:r>
      <w:r w:rsidR="006D7CC8" w:rsidDel="006D7CC8">
        <w:t xml:space="preserve"> </w:t>
      </w:r>
      <w:r w:rsidR="00213A7E" w:rsidRPr="00213A7E">
        <w:t xml:space="preserve">ning </w:t>
      </w:r>
      <w:r w:rsidR="00FC59D3">
        <w:t xml:space="preserve">seejärel </w:t>
      </w:r>
      <w:r w:rsidR="00213A7E" w:rsidRPr="00213A7E">
        <w:t xml:space="preserve">majanduse tsüklitega arvestades </w:t>
      </w:r>
      <w:r w:rsidR="00BD46A9">
        <w:t xml:space="preserve">ka nominaalse </w:t>
      </w:r>
      <w:r>
        <w:t xml:space="preserve">valitsussektori </w:t>
      </w:r>
      <w:r w:rsidR="00213A7E" w:rsidRPr="00213A7E">
        <w:t xml:space="preserve">ülejäägiga </w:t>
      </w:r>
      <w:r w:rsidR="00303E49">
        <w:t>eelarvete koostamin</w:t>
      </w:r>
      <w:r w:rsidR="00BD46A9">
        <w:t xml:space="preserve">e </w:t>
      </w:r>
      <w:r w:rsidR="00213A7E" w:rsidRPr="00213A7E">
        <w:t>pik</w:t>
      </w:r>
      <w:r w:rsidR="00BD46A9">
        <w:t>emas</w:t>
      </w:r>
      <w:r w:rsidR="00213A7E" w:rsidRPr="00213A7E">
        <w:t xml:space="preserve"> perspektiivis</w:t>
      </w:r>
      <w:r w:rsidR="00213A7E">
        <w:t>.</w:t>
      </w:r>
    </w:p>
    <w:p w:rsidR="004E5D5E" w:rsidRPr="00213A7E" w:rsidRDefault="004E5D5E" w:rsidP="006B2290">
      <w:pPr>
        <w:jc w:val="both"/>
      </w:pPr>
    </w:p>
    <w:p w:rsidR="006B2290" w:rsidRDefault="006B2290" w:rsidP="006B2290">
      <w:pPr>
        <w:jc w:val="both"/>
      </w:pPr>
    </w:p>
    <w:p w:rsidR="006B2290" w:rsidRPr="00B83A51" w:rsidRDefault="00220ABA" w:rsidP="006B2290">
      <w:pPr>
        <w:shd w:val="clear" w:color="auto" w:fill="CCCCCC"/>
        <w:jc w:val="both"/>
      </w:pPr>
      <w:r>
        <w:rPr>
          <w:b/>
        </w:rPr>
        <w:t>15</w:t>
      </w:r>
      <w:r w:rsidR="006B2290" w:rsidRPr="00B83A51">
        <w:rPr>
          <w:b/>
        </w:rPr>
        <w:t>. Avaliku sektori sotsiaalkulutuste jätkusuutlikkuse parandamine tööealise elanikkonna vähenemise ja vanemaealiste osakaalu suurenemise tingimustes, kindlustades seejuures tulemuslik tervishoid ning hästi sihistatud ja tulemuslik sotsiaalpoliitika (sh vajalikud tugiteenused).</w:t>
      </w:r>
    </w:p>
    <w:p w:rsidR="006B2290" w:rsidRPr="00B83A51" w:rsidRDefault="006B2290" w:rsidP="006B2290">
      <w:pPr>
        <w:rPr>
          <w:b/>
        </w:rPr>
      </w:pPr>
    </w:p>
    <w:p w:rsidR="006B2290" w:rsidRPr="00B83A51" w:rsidRDefault="006B2290" w:rsidP="006B2290">
      <w:pPr>
        <w:jc w:val="both"/>
      </w:pPr>
      <w:r w:rsidRPr="00B83A51">
        <w:t xml:space="preserve">Eestis, nagu ka teistes arenenud riikides on väljakutseks tänaste </w:t>
      </w:r>
      <w:r w:rsidRPr="00B83A51">
        <w:rPr>
          <w:b/>
        </w:rPr>
        <w:t>avaliku sektori sotsiaalkulutuste pikaajaline finantseerimisvõimekuse tagamine</w:t>
      </w:r>
      <w:r w:rsidRPr="00B83A51">
        <w:t xml:space="preserve">. Seda muudavad keerulisemaks demograafilised muutused, ehk tööealiste inimeste arvu vähenemine ja pensioniealiste arvu kasv. </w:t>
      </w:r>
    </w:p>
    <w:p w:rsidR="006B2290" w:rsidRPr="00B83A51" w:rsidRDefault="006B2290" w:rsidP="006B2290">
      <w:pPr>
        <w:jc w:val="both"/>
      </w:pPr>
    </w:p>
    <w:p w:rsidR="00B254A0" w:rsidRPr="00B83A51" w:rsidRDefault="00B254A0" w:rsidP="00B254A0">
      <w:pPr>
        <w:jc w:val="both"/>
      </w:pPr>
      <w:r>
        <w:rPr>
          <w:b/>
        </w:rPr>
        <w:t>S</w:t>
      </w:r>
      <w:r w:rsidRPr="001F3832">
        <w:rPr>
          <w:b/>
        </w:rPr>
        <w:t xml:space="preserve">otsiaalkindlustussüsteemi </w:t>
      </w:r>
      <w:r>
        <w:rPr>
          <w:b/>
        </w:rPr>
        <w:t>kestliku</w:t>
      </w:r>
      <w:r w:rsidRPr="001F3832">
        <w:rPr>
          <w:b/>
        </w:rPr>
        <w:t xml:space="preserve"> rahastamise </w:t>
      </w:r>
      <w:r>
        <w:rPr>
          <w:b/>
        </w:rPr>
        <w:t>arendamiseks</w:t>
      </w:r>
      <w:r>
        <w:t xml:space="preserve"> analüüsitakse edasi ravikindlustuse, </w:t>
      </w:r>
      <w:r w:rsidRPr="00B83A51">
        <w:t xml:space="preserve">pensionikindlustuse ja töötuskindlustuse rahastamise </w:t>
      </w:r>
      <w:r>
        <w:t xml:space="preserve">võimalike muudatuste kujundamist, sealhulgas </w:t>
      </w:r>
      <w:r w:rsidRPr="00CC4328">
        <w:t>töövõime</w:t>
      </w:r>
      <w:r>
        <w:t xml:space="preserve">reformi elluviimise </w:t>
      </w:r>
      <w:r w:rsidRPr="00CC4328">
        <w:t>kontekstis</w:t>
      </w:r>
      <w:r>
        <w:t xml:space="preserve">. Tervena elatud aastad ja tööturul pikem osalemine (ning tervislikud eluviisid) omavad positiivset mõju sotsiaalkindlustussüsteemile. Seetõttu tuleb </w:t>
      </w:r>
      <w:r w:rsidRPr="001270E5">
        <w:rPr>
          <w:b/>
        </w:rPr>
        <w:t>toimiva</w:t>
      </w:r>
      <w:r>
        <w:t xml:space="preserve"> </w:t>
      </w:r>
      <w:r w:rsidRPr="0012026F">
        <w:rPr>
          <w:b/>
        </w:rPr>
        <w:t>ravikindlustussüsteemi põhimõtteid tugevdades</w:t>
      </w:r>
      <w:r>
        <w:t xml:space="preserve"> tagada kestlik rahastamine ka tulevikus.</w:t>
      </w:r>
    </w:p>
    <w:p w:rsidR="006B2290" w:rsidRPr="00B83A51" w:rsidRDefault="006B2290" w:rsidP="006B2290">
      <w:pPr>
        <w:jc w:val="both"/>
      </w:pPr>
    </w:p>
    <w:p w:rsidR="009766DF" w:rsidRDefault="009766DF" w:rsidP="009766DF">
      <w:pPr>
        <w:jc w:val="both"/>
      </w:pPr>
      <w:r w:rsidRPr="00B83A51">
        <w:t xml:space="preserve">Muidu töövõimelisi ja hea väljaõppega inimesi tööturul aktiivsena hoida ning ressursse teiste sotsiaalteenuste osutamiseks suunata aitaks </w:t>
      </w:r>
      <w:r w:rsidRPr="001F3832">
        <w:rPr>
          <w:b/>
        </w:rPr>
        <w:t>eripensionide süsteemi ülevaatamine ja soodustingimustel vanaduspensionide vähendamine või kaotamine</w:t>
      </w:r>
      <w:r w:rsidRPr="00B83A51">
        <w:t xml:space="preserve">. </w:t>
      </w:r>
      <w:r>
        <w:t>Samuti viiakse ellu 2009. aasta lõpus otsustatud ü</w:t>
      </w:r>
      <w:r w:rsidRPr="00B03E88">
        <w:t xml:space="preserve">ldise pensioniea </w:t>
      </w:r>
      <w:r>
        <w:t xml:space="preserve">reform. </w:t>
      </w:r>
    </w:p>
    <w:p w:rsidR="00B254A0" w:rsidRDefault="00B254A0" w:rsidP="00B254A0">
      <w:pPr>
        <w:jc w:val="both"/>
      </w:pPr>
    </w:p>
    <w:p w:rsidR="00B254A0" w:rsidRPr="00E94FED" w:rsidRDefault="00B254A0" w:rsidP="00B254A0">
      <w:pPr>
        <w:jc w:val="both"/>
        <w:rPr>
          <w:color w:val="000000" w:themeColor="text1"/>
        </w:rPr>
      </w:pPr>
      <w:r w:rsidRPr="00F97A0A">
        <w:rPr>
          <w:b/>
          <w:color w:val="000000" w:themeColor="text1"/>
        </w:rPr>
        <w:t xml:space="preserve">Sotsiaalteenuste </w:t>
      </w:r>
      <w:proofErr w:type="spellStart"/>
      <w:r w:rsidRPr="00F97A0A">
        <w:rPr>
          <w:b/>
          <w:color w:val="000000" w:themeColor="text1"/>
        </w:rPr>
        <w:t>deinstitutsionaliseerimise</w:t>
      </w:r>
      <w:proofErr w:type="spellEnd"/>
      <w:r w:rsidRPr="00E94FED">
        <w:rPr>
          <w:color w:val="000000" w:themeColor="text1"/>
        </w:rPr>
        <w:t xml:space="preserve"> põhimõtete rakendamisega (alustades erihoolekandest) on võetud suund arendada koduses keskkonnas iseseisvat toimetulekut toetavate teenuste pakkumist ning ennetada kallimate institutsionaalsete teenuste osutamise vajadust. Kogukonnapõhiste teenuste arendamine ning paindlikud ja uuenduslikud lahendused aitavad ressursisäästlikult inimeste vajadustele vastata</w:t>
      </w:r>
      <w:r w:rsidR="00F97A0A">
        <w:rPr>
          <w:color w:val="000000" w:themeColor="text1"/>
        </w:rPr>
        <w:t xml:space="preserve">, </w:t>
      </w:r>
      <w:r w:rsidRPr="00E94FED">
        <w:rPr>
          <w:color w:val="000000" w:themeColor="text1"/>
        </w:rPr>
        <w:t xml:space="preserve"> vähendada probleemide tekkimist ja süvenemist n</w:t>
      </w:r>
      <w:r w:rsidR="00F97A0A">
        <w:rPr>
          <w:color w:val="000000" w:themeColor="text1"/>
        </w:rPr>
        <w:t xml:space="preserve">ing </w:t>
      </w:r>
      <w:r w:rsidRPr="00E94FED">
        <w:rPr>
          <w:color w:val="000000" w:themeColor="text1"/>
        </w:rPr>
        <w:t>ennetada kulude kasvu tulevikus.</w:t>
      </w:r>
    </w:p>
    <w:p w:rsidR="00B254A0" w:rsidRDefault="00B254A0" w:rsidP="009766DF">
      <w:pPr>
        <w:jc w:val="both"/>
      </w:pPr>
    </w:p>
    <w:p w:rsidR="009766DF" w:rsidRDefault="009766DF" w:rsidP="009766DF">
      <w:pPr>
        <w:jc w:val="both"/>
      </w:pPr>
    </w:p>
    <w:p w:rsidR="009766DF" w:rsidRPr="00B83A51" w:rsidRDefault="009766DF" w:rsidP="009766DF">
      <w:pPr>
        <w:shd w:val="clear" w:color="auto" w:fill="CCCCCC"/>
        <w:jc w:val="both"/>
        <w:rPr>
          <w:b/>
        </w:rPr>
      </w:pPr>
      <w:r>
        <w:rPr>
          <w:b/>
        </w:rPr>
        <w:t>16</w:t>
      </w:r>
      <w:r w:rsidRPr="00B83A51">
        <w:rPr>
          <w:b/>
        </w:rPr>
        <w:t>. Konkurentsivõimet toetava eelarvepoliitikaga (kõrge tootlike kulude tase, eelarve paindlikkuse suurendamine, avaliku sektori palgakulude ohjamine</w:t>
      </w:r>
      <w:r>
        <w:rPr>
          <w:b/>
        </w:rPr>
        <w:t xml:space="preserve">, </w:t>
      </w:r>
      <w:r w:rsidRPr="0042439C">
        <w:rPr>
          <w:b/>
        </w:rPr>
        <w:t>omavalitsuste tulubaasi planeerimine riigi eelarvestrateegias</w:t>
      </w:r>
      <w:r w:rsidRPr="00B83A51">
        <w:rPr>
          <w:b/>
        </w:rPr>
        <w:t>) jätkamine.</w:t>
      </w:r>
    </w:p>
    <w:p w:rsidR="009766DF" w:rsidRPr="00B83A51" w:rsidRDefault="009766DF" w:rsidP="009766DF">
      <w:pPr>
        <w:jc w:val="both"/>
      </w:pPr>
    </w:p>
    <w:p w:rsidR="009766DF" w:rsidRDefault="009766DF" w:rsidP="009766DF">
      <w:pPr>
        <w:jc w:val="both"/>
      </w:pPr>
      <w:r>
        <w:t xml:space="preserve">Võrreldes teiste Euroopa Liidu riikidega on </w:t>
      </w:r>
      <w:r w:rsidRPr="00B83A51">
        <w:t>Eesti</w:t>
      </w:r>
      <w:r>
        <w:t>l</w:t>
      </w:r>
      <w:r w:rsidRPr="00B83A51">
        <w:t xml:space="preserve"> </w:t>
      </w:r>
      <w:r w:rsidRPr="00253163">
        <w:rPr>
          <w:b/>
        </w:rPr>
        <w:t>kõrge too</w:t>
      </w:r>
      <w:r w:rsidRPr="00B83A51">
        <w:rPr>
          <w:b/>
        </w:rPr>
        <w:t>tlike kulutuste (investeeringud, hariduskulud, TA kulud jne)</w:t>
      </w:r>
      <w:r>
        <w:rPr>
          <w:b/>
        </w:rPr>
        <w:t xml:space="preserve"> osakaal.</w:t>
      </w:r>
      <w:r w:rsidRPr="00B83A51">
        <w:rPr>
          <w:b/>
        </w:rPr>
        <w:t xml:space="preserve"> </w:t>
      </w:r>
      <w:r w:rsidRPr="00253163">
        <w:t>Seda tuleks valitsussektori eelarvetes hoida ja vajadusel suurendada,</w:t>
      </w:r>
      <w:r w:rsidRPr="00B83A51">
        <w:t xml:space="preserve"> sest need kulutused loovad uusi eeldusi </w:t>
      </w:r>
      <w:r>
        <w:t>majandus</w:t>
      </w:r>
      <w:r w:rsidRPr="00B83A51">
        <w:t xml:space="preserve">kasvuks ja suuremateks maksutuludeks. </w:t>
      </w:r>
      <w:r>
        <w:t>Eelarvete koostamisel jälgitakse tootlike kulude</w:t>
      </w:r>
      <w:r w:rsidRPr="00F85A56">
        <w:t xml:space="preserve"> </w:t>
      </w:r>
      <w:r>
        <w:t>vastavaid osakaalusid</w:t>
      </w:r>
      <w:r w:rsidRPr="00B83A51">
        <w:t>, näiteks investee</w:t>
      </w:r>
      <w:r>
        <w:t>ringute või hariduskulutuste osatähtsust</w:t>
      </w:r>
      <w:r w:rsidRPr="00B83A51">
        <w:t xml:space="preserve"> ning </w:t>
      </w:r>
      <w:r>
        <w:t xml:space="preserve">kaalutakse </w:t>
      </w:r>
      <w:r w:rsidRPr="00B83A51">
        <w:t xml:space="preserve">lagede kehtestamist tegevuskuludele. Neid eesmärke </w:t>
      </w:r>
      <w:r>
        <w:t xml:space="preserve">võeti </w:t>
      </w:r>
      <w:r w:rsidRPr="00B83A51">
        <w:t>arves</w:t>
      </w:r>
      <w:r>
        <w:t>se</w:t>
      </w:r>
      <w:r w:rsidRPr="00B83A51">
        <w:t xml:space="preserve"> ka EL eelarveraamistiku (2014-</w:t>
      </w:r>
      <w:r w:rsidRPr="00B83A51">
        <w:lastRenderedPageBreak/>
        <w:t xml:space="preserve">2020) </w:t>
      </w:r>
      <w:r>
        <w:t xml:space="preserve">vahendite kasutamise </w:t>
      </w:r>
      <w:r w:rsidRPr="00B83A51">
        <w:t>läbirääkimistel</w:t>
      </w:r>
      <w:r>
        <w:t xml:space="preserve">, arvestades seejuures meetmete omavahelist paindlikumat seostatust, </w:t>
      </w:r>
      <w:r w:rsidRPr="002129B1">
        <w:rPr>
          <w:b/>
        </w:rPr>
        <w:t>EL kaasfinantseerimise mõju püsikuludele</w:t>
      </w:r>
      <w:r>
        <w:t xml:space="preserve"> ning valmistudes toetustest väljumiseks</w:t>
      </w:r>
      <w:r w:rsidRPr="00B83A51">
        <w:t>.</w:t>
      </w:r>
    </w:p>
    <w:p w:rsidR="008103C1" w:rsidRPr="00B83A51" w:rsidRDefault="008103C1" w:rsidP="009766DF">
      <w:pPr>
        <w:jc w:val="both"/>
      </w:pPr>
    </w:p>
    <w:p w:rsidR="009766DF" w:rsidRDefault="009766DF" w:rsidP="009766DF">
      <w:pPr>
        <w:jc w:val="both"/>
      </w:pPr>
      <w:r>
        <w:t>V</w:t>
      </w:r>
      <w:r w:rsidRPr="00B83A51">
        <w:t xml:space="preserve">äiksem fikseeritud ja tuludest sõltuvate kulude osakaal valitsussektori eelarves </w:t>
      </w:r>
      <w:r>
        <w:t xml:space="preserve">aitab </w:t>
      </w:r>
      <w:r w:rsidRPr="00B83A51">
        <w:t xml:space="preserve">paindlikumalt reageerida majanduses ja ühiskonnas aset leidvatele muudatustele ning tagada valdkonnapoliitikate rahastamise vastavalt vajadusele. </w:t>
      </w:r>
      <w:r>
        <w:t>Nii näiteks seoti e</w:t>
      </w:r>
      <w:r w:rsidRPr="00380BAB">
        <w:t>elarve paindlikkuse suurendamiseks kütuseaktsiis</w:t>
      </w:r>
      <w:r>
        <w:t xml:space="preserve"> lahti</w:t>
      </w:r>
      <w:r w:rsidRPr="00380BAB">
        <w:t xml:space="preserve"> teehoiu kuludest</w:t>
      </w:r>
      <w:r>
        <w:t>.</w:t>
      </w:r>
      <w:r w:rsidRPr="00380BAB">
        <w:t xml:space="preserve"> </w:t>
      </w:r>
    </w:p>
    <w:p w:rsidR="009766DF" w:rsidRDefault="009766DF" w:rsidP="009766DF">
      <w:pPr>
        <w:jc w:val="both"/>
      </w:pPr>
    </w:p>
    <w:p w:rsidR="009766DF" w:rsidRDefault="009766DF" w:rsidP="009766DF">
      <w:pPr>
        <w:jc w:val="both"/>
      </w:pPr>
      <w:r w:rsidRPr="00B83A51">
        <w:t xml:space="preserve">Keskpikas perspektiivis aitab </w:t>
      </w:r>
      <w:r w:rsidRPr="00B83A51">
        <w:rPr>
          <w:b/>
        </w:rPr>
        <w:t>tootlikkuse kasvuga kooskõlas olev avaliku sektori palgakulude kasv</w:t>
      </w:r>
      <w:r w:rsidRPr="00B83A51">
        <w:t xml:space="preserve"> kindlustada Eesti konkurentsivõimet. Tootlikkuse kasvust kiirem palgakasv nõrgestab pikemal perioodil ettevõtete konkurentsivõimet, suurendab sisemaiseid inflatsioonisurveid ja tähendab omakorda suuremat survet valitsussektori kulutustele läbi palkadega seotud siirete.</w:t>
      </w:r>
    </w:p>
    <w:p w:rsidR="004E5D5E" w:rsidRDefault="004E5D5E" w:rsidP="006B2290">
      <w:pPr>
        <w:jc w:val="both"/>
      </w:pPr>
    </w:p>
    <w:p w:rsidR="00291A93" w:rsidRDefault="00291A93" w:rsidP="006B2290">
      <w:pPr>
        <w:jc w:val="both"/>
      </w:pPr>
    </w:p>
    <w:p w:rsidR="006B2290" w:rsidRPr="00B83A51" w:rsidRDefault="00220ABA" w:rsidP="006B2290">
      <w:pPr>
        <w:shd w:val="clear" w:color="auto" w:fill="CCCCCC"/>
        <w:jc w:val="both"/>
      </w:pPr>
      <w:r>
        <w:rPr>
          <w:b/>
        </w:rPr>
        <w:t>17</w:t>
      </w:r>
      <w:r w:rsidR="006B2290" w:rsidRPr="00B83A51">
        <w:rPr>
          <w:b/>
        </w:rPr>
        <w:t>. Töötamise ja kasumi teenimise maksude vähendamisega ning tarbimise ja keskkonna koormamise maksude suurendamisega jätkamine.</w:t>
      </w:r>
    </w:p>
    <w:p w:rsidR="006B2290" w:rsidRPr="00B83A51" w:rsidRDefault="006B2290" w:rsidP="006B2290">
      <w:pPr>
        <w:jc w:val="both"/>
      </w:pPr>
    </w:p>
    <w:p w:rsidR="006B2290" w:rsidRPr="00B83A51" w:rsidRDefault="006B2290" w:rsidP="006B2290">
      <w:pPr>
        <w:jc w:val="both"/>
      </w:pPr>
      <w:r w:rsidRPr="00B83A51">
        <w:t xml:space="preserve">Töötasu ja kasumi suurem maksustamine pärsib majanduskasvu rohkem kui samas mahus tarbimise ja keskkonnakasutuse maksustamine. Seepärast tuleks maksustamise valdkonnas </w:t>
      </w:r>
      <w:r w:rsidR="00BC39F4">
        <w:rPr>
          <w:b/>
        </w:rPr>
        <w:t>jätkata</w:t>
      </w:r>
      <w:r w:rsidR="00BC39F4" w:rsidRPr="00B83A51">
        <w:rPr>
          <w:b/>
        </w:rPr>
        <w:t xml:space="preserve"> </w:t>
      </w:r>
      <w:r w:rsidRPr="00B83A51">
        <w:rPr>
          <w:b/>
        </w:rPr>
        <w:t>igal tasandil suunda tööjõumaksustamiselt (otsestelt maksudelt) tarbimise ja ressursikasutuse maksustamisele (kaudsetele maksudele)</w:t>
      </w:r>
      <w:r w:rsidRPr="00B83A51">
        <w:t>. Samuti on ettevõtlust soosiv maksukeskkond geograafilise asukoha ja riigi maine kõrval üks olulisemaid tegureid, mis aitab otseseid välisinvesteeringuid riiki meelitada. Soodsad maksud määravad investeerimisotsused juhul kui muud eeldused (baasinfrastruktuur, haridus, julgeolek) on teiste riikidega võrreldavalt tagatud.</w:t>
      </w:r>
      <w:r w:rsidR="00CF4614">
        <w:t xml:space="preserve"> </w:t>
      </w:r>
    </w:p>
    <w:p w:rsidR="006B2290" w:rsidRPr="00B83A51" w:rsidRDefault="006B2290" w:rsidP="006B2290">
      <w:pPr>
        <w:jc w:val="both"/>
      </w:pPr>
    </w:p>
    <w:p w:rsidR="006B2290" w:rsidRPr="00B83A51" w:rsidRDefault="006B2290" w:rsidP="006B2290">
      <w:pPr>
        <w:jc w:val="both"/>
      </w:pPr>
      <w:r w:rsidRPr="00B83A51">
        <w:t xml:space="preserve">Tööd tuleb jätkata EL siseturu toimimist oluliselt mõjutavate </w:t>
      </w:r>
      <w:r w:rsidRPr="00825F9C">
        <w:rPr>
          <w:b/>
        </w:rPr>
        <w:t>kaudsete</w:t>
      </w:r>
      <w:r w:rsidRPr="00B83A51">
        <w:t xml:space="preserve"> </w:t>
      </w:r>
      <w:r w:rsidRPr="00B83A51">
        <w:rPr>
          <w:b/>
        </w:rPr>
        <w:t>maksude harmoneerimise ja erandite kaotamisega EL-is</w:t>
      </w:r>
      <w:r w:rsidRPr="00B83A51">
        <w:t>. Otsesed maksud ja maksusüsteemid (määrad) peegeldavad iga riigi spetsiifilisi ja unikaalseid ühiskondlikke ja poliitilisi valikuid, seetõttu peab selles osas säilima liikmesriikide valikuvabaduse põhimõte.</w:t>
      </w:r>
    </w:p>
    <w:p w:rsidR="006B2290" w:rsidRPr="00B83A51" w:rsidRDefault="006B2290" w:rsidP="006B2290">
      <w:pPr>
        <w:jc w:val="both"/>
      </w:pPr>
    </w:p>
    <w:p w:rsidR="006B2290" w:rsidRDefault="006B2290" w:rsidP="006B2290">
      <w:pPr>
        <w:jc w:val="both"/>
      </w:pPr>
      <w:r w:rsidRPr="00B83A51">
        <w:t>Eesti peab toetama 28nda süsteemina kavandatavat ettevõtete ühtset konsolideeritud tulumaksubaasi eeldusel, et see lihtsustab ettevõtluskeskkonna toimimist ja et sealjuures on võimalik säilitada meie praeguse ettevõtte tulumaksusüsteemi põhimõtted. Lihtsus, läbipaistvus, madalad halduskulud on Eestile võtmetähtsusega ettevõtluskeskkonna konkurentsivõime hoidmisel ja tõstmisel.</w:t>
      </w:r>
    </w:p>
    <w:p w:rsidR="004E5D5E" w:rsidRDefault="004E5D5E" w:rsidP="006B2290">
      <w:pPr>
        <w:jc w:val="both"/>
      </w:pPr>
    </w:p>
    <w:p w:rsidR="00357776" w:rsidRDefault="00357776" w:rsidP="006B2290">
      <w:pPr>
        <w:jc w:val="both"/>
      </w:pPr>
    </w:p>
    <w:p w:rsidR="007A2EE9" w:rsidRPr="00B83A51" w:rsidRDefault="00220ABA" w:rsidP="007A2EE9">
      <w:pPr>
        <w:shd w:val="clear" w:color="auto" w:fill="CCCCCC"/>
        <w:jc w:val="both"/>
      </w:pPr>
      <w:r>
        <w:rPr>
          <w:b/>
        </w:rPr>
        <w:t>18</w:t>
      </w:r>
      <w:r w:rsidR="007A2EE9" w:rsidRPr="00B83A51">
        <w:rPr>
          <w:b/>
        </w:rPr>
        <w:t xml:space="preserve">. </w:t>
      </w:r>
      <w:r w:rsidR="007A2EE9">
        <w:rPr>
          <w:b/>
        </w:rPr>
        <w:t xml:space="preserve">Makromajanduslike tasakaalustamatuste vältimine </w:t>
      </w:r>
    </w:p>
    <w:p w:rsidR="00DC6095" w:rsidRDefault="00DC6095" w:rsidP="006B2290">
      <w:pPr>
        <w:jc w:val="both"/>
      </w:pPr>
    </w:p>
    <w:p w:rsidR="003C1437" w:rsidRDefault="00D51681" w:rsidP="006B2290">
      <w:pPr>
        <w:jc w:val="both"/>
      </w:pPr>
      <w:r w:rsidRPr="00D51681">
        <w:t xml:space="preserve">Majanduspoliitika lähiaastate väljakutsed on seotud institutsionaalse raamistiku tugevdamisega, mis võimaldaks paremini </w:t>
      </w:r>
      <w:r w:rsidRPr="00AC172B">
        <w:rPr>
          <w:b/>
        </w:rPr>
        <w:t>ohjata tasakaalustamatusi ning vältida nende taastekke võimalusi</w:t>
      </w:r>
      <w:r w:rsidRPr="00D51681">
        <w:t>. Samuti on oluline tagada ettevõtluskeskkonna ja tööturu parem toimimine, mille abil suurendada majanduse pikaajalisi kasvuväljavaateid.</w:t>
      </w:r>
      <w:r>
        <w:t xml:space="preserve"> </w:t>
      </w:r>
    </w:p>
    <w:p w:rsidR="001402C6" w:rsidRDefault="001402C6" w:rsidP="006B2290">
      <w:pPr>
        <w:jc w:val="both"/>
      </w:pPr>
    </w:p>
    <w:p w:rsidR="001402C6" w:rsidRDefault="001402C6" w:rsidP="006B2290">
      <w:pPr>
        <w:jc w:val="both"/>
      </w:pPr>
      <w:r w:rsidRPr="001E473F">
        <w:t>2005</w:t>
      </w:r>
      <w:r w:rsidR="00325EA8">
        <w:t>.</w:t>
      </w:r>
      <w:r w:rsidR="00325EA8" w:rsidRPr="00325EA8">
        <w:t>–</w:t>
      </w:r>
      <w:r w:rsidRPr="001E473F">
        <w:t>2007</w:t>
      </w:r>
      <w:r w:rsidR="00325EA8">
        <w:t>.</w:t>
      </w:r>
      <w:r w:rsidRPr="001E473F">
        <w:t xml:space="preserve"> aastal majanduse ülekuumenemise põhjustanud tegurite mõju on praeguseks ammendunud ning majanduskasvu juhivad teised mõjurid (välisnõudlus ja konkurentsivõime </w:t>
      </w:r>
      <w:r w:rsidRPr="001E473F">
        <w:lastRenderedPageBreak/>
        <w:t>suurenemine),</w:t>
      </w:r>
      <w:r>
        <w:t xml:space="preserve"> mistõttu sarnase sisenõudluse buumi teke on lähiaastatel ebatõenäoline.</w:t>
      </w:r>
      <w:r w:rsidRPr="001E473F">
        <w:t xml:space="preserve"> </w:t>
      </w:r>
      <w:r>
        <w:t>S</w:t>
      </w:r>
      <w:r w:rsidRPr="001E473F">
        <w:t>amas tuleb endiselt olla valmis majanduse tasakaalustamatuste tekkimisel nende vähendamiseks.</w:t>
      </w:r>
    </w:p>
    <w:p w:rsidR="00BD02D6" w:rsidRDefault="00BD02D6" w:rsidP="006B2290">
      <w:pPr>
        <w:jc w:val="both"/>
      </w:pPr>
    </w:p>
    <w:p w:rsidR="00633692" w:rsidRPr="00B83A51" w:rsidRDefault="00633692" w:rsidP="00633692">
      <w:pPr>
        <w:shd w:val="clear" w:color="auto" w:fill="CCCCCC"/>
        <w:jc w:val="both"/>
      </w:pPr>
      <w:r>
        <w:rPr>
          <w:b/>
        </w:rPr>
        <w:t>19. Valitsussektori kohandamine välis- ja sisekeskkonna muutustega</w:t>
      </w:r>
    </w:p>
    <w:p w:rsidR="00633692" w:rsidRDefault="00633692" w:rsidP="00633692">
      <w:pPr>
        <w:jc w:val="both"/>
      </w:pPr>
    </w:p>
    <w:p w:rsidR="00633692" w:rsidRDefault="00633692" w:rsidP="00633692">
      <w:pPr>
        <w:jc w:val="both"/>
      </w:pPr>
      <w:r>
        <w:t xml:space="preserve">Kahaneva rahvastiku tingimustes peab valitsussektor olema piisavalt paindlik  ja muutustega kohanema. </w:t>
      </w:r>
    </w:p>
    <w:p w:rsidR="00633692" w:rsidRDefault="00633692" w:rsidP="00633692">
      <w:pPr>
        <w:jc w:val="both"/>
      </w:pPr>
    </w:p>
    <w:p w:rsidR="00633692" w:rsidRDefault="00633692" w:rsidP="00633692">
      <w:pPr>
        <w:contextualSpacing/>
        <w:jc w:val="both"/>
        <w:rPr>
          <w:b/>
          <w:bCs/>
        </w:rPr>
      </w:pPr>
      <w:r>
        <w:t>Valitsussektori töötajate arv peab vähenema kooskõlas tööealise elanikkonna kahanemisega. N</w:t>
      </w:r>
      <w:r w:rsidRPr="001C34B2">
        <w:t xml:space="preserve">endes tingimustes peavad </w:t>
      </w:r>
      <w:r>
        <w:t xml:space="preserve">aga </w:t>
      </w:r>
      <w:r w:rsidRPr="001C34B2">
        <w:t>valitsusasutused tulema edukalt toime Eesti ees seisvate pikaajaliste ülesannetega</w:t>
      </w:r>
      <w:r>
        <w:t>.</w:t>
      </w:r>
      <w:r w:rsidRPr="001C34B2">
        <w:t xml:space="preserve"> </w:t>
      </w:r>
      <w:r>
        <w:t xml:space="preserve">Ümberkorralduste toetamiseks </w:t>
      </w:r>
      <w:r w:rsidRPr="00900EDD">
        <w:rPr>
          <w:b/>
        </w:rPr>
        <w:t>tõhustatakse avalike teenuste pakkumist</w:t>
      </w:r>
      <w:r>
        <w:t xml:space="preserve">. Avaliku sektori siseste ümberkorralduste, tõhusama teenuskorralduse ja e-lahenduste abil tagatakse tarbija vajadustele vastavate kvaliteetsete teenuste kättesaadavus üle Eesti.  Olulise panuse kvaliteetset teenuste kättesaadavuse parendamisel annab ka  </w:t>
      </w:r>
      <w:r w:rsidRPr="00907E75">
        <w:t>2017. aasta kohalike omavalitsuste volikogude valimisteks  läbi</w:t>
      </w:r>
      <w:r>
        <w:t>viidav</w:t>
      </w:r>
      <w:r w:rsidRPr="00907E75">
        <w:t xml:space="preserve"> </w:t>
      </w:r>
      <w:r>
        <w:rPr>
          <w:b/>
          <w:bCs/>
        </w:rPr>
        <w:t>haldusreform</w:t>
      </w:r>
      <w:r w:rsidRPr="00907E75">
        <w:rPr>
          <w:b/>
          <w:bCs/>
        </w:rPr>
        <w:t xml:space="preserve">. </w:t>
      </w:r>
    </w:p>
    <w:p w:rsidR="00633692" w:rsidRDefault="00633692" w:rsidP="00633692">
      <w:pPr>
        <w:contextualSpacing/>
        <w:jc w:val="both"/>
        <w:rPr>
          <w:b/>
          <w:bCs/>
        </w:rPr>
      </w:pPr>
    </w:p>
    <w:p w:rsidR="00633692" w:rsidRPr="000D2216" w:rsidRDefault="00633692" w:rsidP="00633692">
      <w:pPr>
        <w:contextualSpacing/>
        <w:jc w:val="both"/>
        <w:rPr>
          <w:bCs/>
        </w:rPr>
      </w:pPr>
      <w:r w:rsidRPr="009140DD">
        <w:rPr>
          <w:bCs/>
        </w:rPr>
        <w:t xml:space="preserve">Reageerimaks paindlikumalt probleemidele ning </w:t>
      </w:r>
      <w:r>
        <w:rPr>
          <w:bCs/>
        </w:rPr>
        <w:t xml:space="preserve">seadmaks uusi rõhuasetusi muudetakse valitsemiskorraldus paindlikumaks ning vähendatakse ülereguleerimist. </w:t>
      </w:r>
    </w:p>
    <w:p w:rsidR="00633692" w:rsidRDefault="00633692" w:rsidP="006B2290">
      <w:pPr>
        <w:jc w:val="both"/>
      </w:pPr>
    </w:p>
    <w:p w:rsidR="00112D19" w:rsidRDefault="00112D19" w:rsidP="006B2290">
      <w:pPr>
        <w:jc w:val="both"/>
      </w:pPr>
    </w:p>
    <w:p w:rsidR="00112D19" w:rsidRDefault="00112D19" w:rsidP="006B2290">
      <w:pPr>
        <w:jc w:val="both"/>
      </w:pPr>
    </w:p>
    <w:p w:rsidR="00112D19" w:rsidRPr="00663102" w:rsidRDefault="00112D19" w:rsidP="006B2290">
      <w:pPr>
        <w:jc w:val="both"/>
      </w:pPr>
    </w:p>
    <w:sectPr w:rsidR="00112D19" w:rsidRPr="00663102" w:rsidSect="00E04162">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4F6" w:rsidRDefault="008214F6">
      <w:r>
        <w:separator/>
      </w:r>
    </w:p>
  </w:endnote>
  <w:endnote w:type="continuationSeparator" w:id="0">
    <w:p w:rsidR="008214F6" w:rsidRDefault="0082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IN Mittelschrift Std">
    <w:altName w:val="Arial"/>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F6" w:rsidRDefault="00C76CB4" w:rsidP="00BC6F63">
    <w:pPr>
      <w:pStyle w:val="Footer"/>
      <w:framePr w:wrap="around" w:vAnchor="text" w:hAnchor="margin" w:xAlign="right" w:y="1"/>
      <w:rPr>
        <w:rStyle w:val="PageNumber"/>
      </w:rPr>
    </w:pPr>
    <w:r>
      <w:rPr>
        <w:rStyle w:val="PageNumber"/>
      </w:rPr>
      <w:fldChar w:fldCharType="begin"/>
    </w:r>
    <w:r w:rsidR="008214F6">
      <w:rPr>
        <w:rStyle w:val="PageNumber"/>
      </w:rPr>
      <w:instrText xml:space="preserve">PAGE  </w:instrText>
    </w:r>
    <w:r>
      <w:rPr>
        <w:rStyle w:val="PageNumber"/>
      </w:rPr>
      <w:fldChar w:fldCharType="end"/>
    </w:r>
  </w:p>
  <w:p w:rsidR="008214F6" w:rsidRDefault="008214F6" w:rsidP="00E663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F6" w:rsidRDefault="00C76CB4" w:rsidP="00BC6F63">
    <w:pPr>
      <w:pStyle w:val="Footer"/>
      <w:framePr w:wrap="around" w:vAnchor="text" w:hAnchor="margin" w:xAlign="right" w:y="1"/>
      <w:rPr>
        <w:rStyle w:val="PageNumber"/>
      </w:rPr>
    </w:pPr>
    <w:r>
      <w:rPr>
        <w:rStyle w:val="PageNumber"/>
      </w:rPr>
      <w:fldChar w:fldCharType="begin"/>
    </w:r>
    <w:r w:rsidR="008214F6">
      <w:rPr>
        <w:rStyle w:val="PageNumber"/>
      </w:rPr>
      <w:instrText xml:space="preserve">PAGE  </w:instrText>
    </w:r>
    <w:r>
      <w:rPr>
        <w:rStyle w:val="PageNumber"/>
      </w:rPr>
      <w:fldChar w:fldCharType="separate"/>
    </w:r>
    <w:r w:rsidR="00A26067">
      <w:rPr>
        <w:rStyle w:val="PageNumber"/>
        <w:noProof/>
      </w:rPr>
      <w:t>32</w:t>
    </w:r>
    <w:r>
      <w:rPr>
        <w:rStyle w:val="PageNumber"/>
      </w:rPr>
      <w:fldChar w:fldCharType="end"/>
    </w:r>
  </w:p>
  <w:p w:rsidR="008214F6" w:rsidRDefault="008214F6" w:rsidP="00E663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4F6" w:rsidRDefault="008214F6">
      <w:r>
        <w:separator/>
      </w:r>
    </w:p>
  </w:footnote>
  <w:footnote w:type="continuationSeparator" w:id="0">
    <w:p w:rsidR="008214F6" w:rsidRDefault="008214F6">
      <w:r>
        <w:continuationSeparator/>
      </w:r>
    </w:p>
  </w:footnote>
  <w:footnote w:id="1">
    <w:p w:rsidR="008214F6" w:rsidRPr="00987730" w:rsidRDefault="008214F6" w:rsidP="005D0354">
      <w:pPr>
        <w:pStyle w:val="FootnoteText"/>
        <w:jc w:val="both"/>
      </w:pPr>
      <w:r w:rsidRPr="00987730">
        <w:rPr>
          <w:rStyle w:val="FootnoteReference"/>
        </w:rPr>
        <w:footnoteRef/>
      </w:r>
      <w:r w:rsidRPr="00987730">
        <w:t xml:space="preserve"> Koguteguritootlikkuse all mõistetakse kõike seda, mis toimub majandusüksuste (peamiselt ettevõtete) sisemistes protsessides. Seda mõjutavad suurel määral tehnoloogia rakendamise tase, ettevõttesiseste protseduuride ökonoomsus, igapäevase juhtimise tõhusus jms. Inglise keeles </w:t>
      </w:r>
      <w:proofErr w:type="spellStart"/>
      <w:r w:rsidRPr="00987730">
        <w:rPr>
          <w:i/>
        </w:rPr>
        <w:t>total</w:t>
      </w:r>
      <w:proofErr w:type="spellEnd"/>
      <w:r w:rsidRPr="00987730">
        <w:rPr>
          <w:i/>
        </w:rPr>
        <w:t xml:space="preserve"> </w:t>
      </w:r>
      <w:proofErr w:type="spellStart"/>
      <w:r w:rsidRPr="00987730">
        <w:rPr>
          <w:i/>
        </w:rPr>
        <w:t>factor</w:t>
      </w:r>
      <w:proofErr w:type="spellEnd"/>
      <w:r w:rsidRPr="00987730">
        <w:rPr>
          <w:i/>
        </w:rPr>
        <w:t xml:space="preserve"> </w:t>
      </w:r>
      <w:proofErr w:type="spellStart"/>
      <w:r w:rsidRPr="00987730">
        <w:rPr>
          <w:i/>
        </w:rPr>
        <w:t>productivity</w:t>
      </w:r>
      <w:proofErr w:type="spellEnd"/>
      <w:r w:rsidRPr="00987730">
        <w:t>.</w:t>
      </w:r>
    </w:p>
  </w:footnote>
  <w:footnote w:id="2">
    <w:p w:rsidR="008214F6" w:rsidRPr="00C34C37" w:rsidRDefault="008214F6" w:rsidP="002C2484">
      <w:pPr>
        <w:pStyle w:val="CommentText"/>
        <w:rPr>
          <w:sz w:val="18"/>
          <w:szCs w:val="18"/>
        </w:rPr>
      </w:pPr>
      <w:r w:rsidRPr="00C34C37">
        <w:rPr>
          <w:rStyle w:val="FootnoteReference"/>
          <w:sz w:val="18"/>
          <w:szCs w:val="18"/>
        </w:rPr>
        <w:footnoteRef/>
      </w:r>
      <w:r w:rsidRPr="00C34C37">
        <w:rPr>
          <w:sz w:val="18"/>
          <w:szCs w:val="18"/>
        </w:rPr>
        <w:t xml:space="preserve"> Siinkohal tuleb märkida, et 2016 aasta alguses korrigeeris </w:t>
      </w:r>
      <w:proofErr w:type="spellStart"/>
      <w:r w:rsidRPr="00C34C37">
        <w:rPr>
          <w:sz w:val="18"/>
          <w:szCs w:val="18"/>
        </w:rPr>
        <w:t>Eurostat</w:t>
      </w:r>
      <w:proofErr w:type="spellEnd"/>
      <w:r w:rsidRPr="00C34C37">
        <w:rPr>
          <w:sz w:val="18"/>
          <w:szCs w:val="18"/>
        </w:rPr>
        <w:t xml:space="preserve"> 2014. aasta tootlikkuse näitajat 2 protsendipunkti võrra ülespoole, kuna SKP aegridade muutusest tulenevalt korrigeeriti tootlikkuse aegrida.</w:t>
      </w:r>
    </w:p>
    <w:p w:rsidR="008214F6" w:rsidRDefault="008214F6" w:rsidP="002C2484">
      <w:pPr>
        <w:pStyle w:val="FootnoteText"/>
      </w:pPr>
    </w:p>
  </w:footnote>
  <w:footnote w:id="3">
    <w:p w:rsidR="008214F6" w:rsidRDefault="008214F6" w:rsidP="006F510A">
      <w:pPr>
        <w:pStyle w:val="FootnoteText"/>
      </w:pPr>
      <w:r>
        <w:rPr>
          <w:rStyle w:val="FootnoteReference"/>
        </w:rPr>
        <w:footnoteRef/>
      </w:r>
      <w:r>
        <w:t xml:space="preserve"> Reaalne tööjõuühikukulu muutus (jooksevhindades tööjõukulude osakaalu muutus loodud lisandväärtuses, nominaalses SKP-s)</w:t>
      </w:r>
    </w:p>
  </w:footnote>
  <w:footnote w:id="4">
    <w:p w:rsidR="008214F6" w:rsidRDefault="008214F6" w:rsidP="00B762E0">
      <w:pPr>
        <w:pStyle w:val="FootnoteText"/>
      </w:pPr>
      <w:r>
        <w:rPr>
          <w:rStyle w:val="FootnoteReference"/>
        </w:rPr>
        <w:footnoteRef/>
      </w:r>
      <w:r>
        <w:t xml:space="preserve"> Eesmärk kohaldub EL heitkoguste kauplemissüsteemi välistele sektoritele.</w:t>
      </w:r>
    </w:p>
  </w:footnote>
  <w:footnote w:id="5">
    <w:p w:rsidR="008214F6" w:rsidRDefault="008214F6" w:rsidP="000619E3">
      <w:pPr>
        <w:pStyle w:val="FootnoteText"/>
      </w:pPr>
      <w:r>
        <w:rPr>
          <w:rStyle w:val="FootnoteReference"/>
        </w:rPr>
        <w:footnoteRef/>
      </w:r>
      <w:r>
        <w:t xml:space="preserve"> </w:t>
      </w:r>
      <w:r w:rsidRPr="00F83510">
        <w:rPr>
          <w:color w:val="000000"/>
        </w:rPr>
        <w:t>Maakasutus, maakasutuse muutmine ja metsandus</w:t>
      </w:r>
    </w:p>
  </w:footnote>
  <w:footnote w:id="6">
    <w:p w:rsidR="008214F6" w:rsidRDefault="008214F6" w:rsidP="00306EC2">
      <w:pPr>
        <w:pStyle w:val="FootnoteText"/>
      </w:pPr>
      <w:r>
        <w:rPr>
          <w:rStyle w:val="FootnoteReference"/>
        </w:rPr>
        <w:footnoteRef/>
      </w:r>
      <w:r>
        <w:t xml:space="preserve"> Vabariigi Valitsus saatis jäätmekava enne selle heakskiitmist Riigikogule arutamiseks 17. aprillil 2014, eeldatavalt toimub arutelu Riigikogu täiskogus 20.04.2014</w:t>
      </w:r>
    </w:p>
  </w:footnote>
  <w:footnote w:id="7">
    <w:p w:rsidR="008214F6" w:rsidRDefault="008214F6" w:rsidP="00B762E0">
      <w:pPr>
        <w:pStyle w:val="FootnoteText"/>
      </w:pPr>
      <w:r>
        <w:rPr>
          <w:rStyle w:val="FootnoteReference"/>
        </w:rPr>
        <w:footnoteRef/>
      </w:r>
      <w:r>
        <w:t xml:space="preserve"> KOM(2011) 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303pt;visibility:visible" o:bullet="t">
        <v:imagedata r:id="rId1" o:title=""/>
      </v:shape>
    </w:pict>
  </w:numPicBullet>
  <w:abstractNum w:abstractNumId="0">
    <w:nsid w:val="018B7156"/>
    <w:multiLevelType w:val="hybridMultilevel"/>
    <w:tmpl w:val="728E3374"/>
    <w:lvl w:ilvl="0" w:tplc="3748195E">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nsid w:val="15494B96"/>
    <w:multiLevelType w:val="hybridMultilevel"/>
    <w:tmpl w:val="FF9467DC"/>
    <w:lvl w:ilvl="0" w:tplc="60565548">
      <w:start w:val="28"/>
      <w:numFmt w:val="bullet"/>
      <w:lvlText w:val="–"/>
      <w:lvlJc w:val="left"/>
      <w:pPr>
        <w:tabs>
          <w:tab w:val="num" w:pos="720"/>
        </w:tabs>
        <w:ind w:left="720" w:hanging="360"/>
      </w:pPr>
      <w:rPr>
        <w:rFonts w:ascii="System" w:eastAsia="System" w:hAnsi="System" w:cs="System"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nsid w:val="1B5D69E1"/>
    <w:multiLevelType w:val="hybridMultilevel"/>
    <w:tmpl w:val="8BEC58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C9401F2"/>
    <w:multiLevelType w:val="hybridMultilevel"/>
    <w:tmpl w:val="8FBA392C"/>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nsid w:val="27923A94"/>
    <w:multiLevelType w:val="hybridMultilevel"/>
    <w:tmpl w:val="FDB2521A"/>
    <w:lvl w:ilvl="0" w:tplc="60565548">
      <w:start w:val="28"/>
      <w:numFmt w:val="bullet"/>
      <w:lvlText w:val="–"/>
      <w:lvlJc w:val="left"/>
      <w:pPr>
        <w:tabs>
          <w:tab w:val="num" w:pos="720"/>
        </w:tabs>
        <w:ind w:left="720" w:hanging="360"/>
      </w:pPr>
      <w:rPr>
        <w:rFonts w:ascii="System" w:eastAsia="System" w:hAnsi="System" w:cs="System"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nsid w:val="28D40458"/>
    <w:multiLevelType w:val="hybridMultilevel"/>
    <w:tmpl w:val="26EEE3A2"/>
    <w:lvl w:ilvl="0" w:tplc="48DEFA2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30266DBC"/>
    <w:multiLevelType w:val="hybridMultilevel"/>
    <w:tmpl w:val="049C5416"/>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nsid w:val="32A52C4F"/>
    <w:multiLevelType w:val="singleLevel"/>
    <w:tmpl w:val="CEFC5A24"/>
    <w:name w:val="List Number 2"/>
    <w:lvl w:ilvl="0">
      <w:start w:val="1"/>
      <w:numFmt w:val="bullet"/>
      <w:lvlRestart w:val="0"/>
      <w:pStyle w:val="Tiret0"/>
      <w:lvlText w:val="–"/>
      <w:lvlJc w:val="left"/>
      <w:pPr>
        <w:tabs>
          <w:tab w:val="num" w:pos="850"/>
        </w:tabs>
        <w:ind w:left="850" w:hanging="850"/>
      </w:pPr>
    </w:lvl>
  </w:abstractNum>
  <w:abstractNum w:abstractNumId="8">
    <w:nsid w:val="331C6879"/>
    <w:multiLevelType w:val="hybridMultilevel"/>
    <w:tmpl w:val="89368152"/>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nsid w:val="39C6115A"/>
    <w:multiLevelType w:val="hybridMultilevel"/>
    <w:tmpl w:val="9FD059A0"/>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nsid w:val="3ABC0428"/>
    <w:multiLevelType w:val="hybridMultilevel"/>
    <w:tmpl w:val="48CC524C"/>
    <w:lvl w:ilvl="0" w:tplc="254A0196">
      <w:start w:val="1"/>
      <w:numFmt w:val="bullet"/>
      <w:lvlText w:val="­"/>
      <w:lvlJc w:val="left"/>
      <w:pPr>
        <w:tabs>
          <w:tab w:val="num" w:pos="1080"/>
        </w:tabs>
        <w:ind w:left="1080" w:hanging="360"/>
      </w:pPr>
      <w:rPr>
        <w:rFonts w:ascii="Courier New" w:hAnsi="Courier New"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11">
    <w:nsid w:val="40140A05"/>
    <w:multiLevelType w:val="hybridMultilevel"/>
    <w:tmpl w:val="40848DE4"/>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nsid w:val="48633B60"/>
    <w:multiLevelType w:val="hybridMultilevel"/>
    <w:tmpl w:val="2514D1C4"/>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nsid w:val="48E37E37"/>
    <w:multiLevelType w:val="hybridMultilevel"/>
    <w:tmpl w:val="96EA2EB8"/>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nsid w:val="49B61FDD"/>
    <w:multiLevelType w:val="hybridMultilevel"/>
    <w:tmpl w:val="11ECE4CE"/>
    <w:lvl w:ilvl="0" w:tplc="60565548">
      <w:start w:val="28"/>
      <w:numFmt w:val="bullet"/>
      <w:lvlText w:val="–"/>
      <w:lvlJc w:val="left"/>
      <w:pPr>
        <w:tabs>
          <w:tab w:val="num" w:pos="720"/>
        </w:tabs>
        <w:ind w:left="720" w:hanging="360"/>
      </w:pPr>
      <w:rPr>
        <w:rFonts w:ascii="System" w:eastAsia="System" w:hAnsi="System" w:cs="System"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nsid w:val="4E4162E0"/>
    <w:multiLevelType w:val="hybridMultilevel"/>
    <w:tmpl w:val="D3364190"/>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nsid w:val="54760B4C"/>
    <w:multiLevelType w:val="hybridMultilevel"/>
    <w:tmpl w:val="CDACB4F6"/>
    <w:lvl w:ilvl="0" w:tplc="60565548">
      <w:start w:val="28"/>
      <w:numFmt w:val="bullet"/>
      <w:lvlText w:val="–"/>
      <w:lvlJc w:val="left"/>
      <w:pPr>
        <w:tabs>
          <w:tab w:val="num" w:pos="720"/>
        </w:tabs>
        <w:ind w:left="720" w:hanging="360"/>
      </w:pPr>
      <w:rPr>
        <w:rFonts w:ascii="System" w:eastAsia="System" w:hAnsi="System" w:cs="System"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nsid w:val="577D1216"/>
    <w:multiLevelType w:val="hybridMultilevel"/>
    <w:tmpl w:val="1AA46800"/>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nsid w:val="5D51260C"/>
    <w:multiLevelType w:val="hybridMultilevel"/>
    <w:tmpl w:val="9326C70E"/>
    <w:lvl w:ilvl="0" w:tplc="02C22D8C">
      <w:start w:val="16"/>
      <w:numFmt w:val="bullet"/>
      <w:lvlText w:val="-"/>
      <w:lvlJc w:val="left"/>
      <w:pPr>
        <w:tabs>
          <w:tab w:val="num" w:pos="1440"/>
        </w:tabs>
        <w:ind w:left="1440" w:hanging="360"/>
      </w:pPr>
      <w:rPr>
        <w:rFonts w:ascii="Times New Roman" w:eastAsia="Times New Roman" w:hAnsi="Times New Roman" w:hint="default"/>
      </w:rPr>
    </w:lvl>
    <w:lvl w:ilvl="1" w:tplc="04250003" w:tentative="1">
      <w:start w:val="1"/>
      <w:numFmt w:val="bullet"/>
      <w:lvlText w:val="o"/>
      <w:lvlJc w:val="left"/>
      <w:pPr>
        <w:tabs>
          <w:tab w:val="num" w:pos="2160"/>
        </w:tabs>
        <w:ind w:left="2160" w:hanging="360"/>
      </w:pPr>
      <w:rPr>
        <w:rFonts w:ascii="Courier New" w:hAnsi="Courier New" w:hint="default"/>
      </w:rPr>
    </w:lvl>
    <w:lvl w:ilvl="2" w:tplc="04250005" w:tentative="1">
      <w:start w:val="1"/>
      <w:numFmt w:val="bullet"/>
      <w:lvlText w:val=""/>
      <w:lvlJc w:val="left"/>
      <w:pPr>
        <w:tabs>
          <w:tab w:val="num" w:pos="2880"/>
        </w:tabs>
        <w:ind w:left="2880" w:hanging="360"/>
      </w:pPr>
      <w:rPr>
        <w:rFonts w:ascii="Wingdings" w:hAnsi="Wingdings" w:hint="default"/>
      </w:rPr>
    </w:lvl>
    <w:lvl w:ilvl="3" w:tplc="04250001" w:tentative="1">
      <w:start w:val="1"/>
      <w:numFmt w:val="bullet"/>
      <w:lvlText w:val=""/>
      <w:lvlJc w:val="left"/>
      <w:pPr>
        <w:tabs>
          <w:tab w:val="num" w:pos="3600"/>
        </w:tabs>
        <w:ind w:left="3600" w:hanging="360"/>
      </w:pPr>
      <w:rPr>
        <w:rFonts w:ascii="Symbol" w:hAnsi="Symbol" w:hint="default"/>
      </w:rPr>
    </w:lvl>
    <w:lvl w:ilvl="4" w:tplc="04250003" w:tentative="1">
      <w:start w:val="1"/>
      <w:numFmt w:val="bullet"/>
      <w:lvlText w:val="o"/>
      <w:lvlJc w:val="left"/>
      <w:pPr>
        <w:tabs>
          <w:tab w:val="num" w:pos="4320"/>
        </w:tabs>
        <w:ind w:left="4320" w:hanging="360"/>
      </w:pPr>
      <w:rPr>
        <w:rFonts w:ascii="Courier New" w:hAnsi="Courier New" w:hint="default"/>
      </w:rPr>
    </w:lvl>
    <w:lvl w:ilvl="5" w:tplc="04250005" w:tentative="1">
      <w:start w:val="1"/>
      <w:numFmt w:val="bullet"/>
      <w:lvlText w:val=""/>
      <w:lvlJc w:val="left"/>
      <w:pPr>
        <w:tabs>
          <w:tab w:val="num" w:pos="5040"/>
        </w:tabs>
        <w:ind w:left="5040" w:hanging="360"/>
      </w:pPr>
      <w:rPr>
        <w:rFonts w:ascii="Wingdings" w:hAnsi="Wingdings" w:hint="default"/>
      </w:rPr>
    </w:lvl>
    <w:lvl w:ilvl="6" w:tplc="04250001" w:tentative="1">
      <w:start w:val="1"/>
      <w:numFmt w:val="bullet"/>
      <w:lvlText w:val=""/>
      <w:lvlJc w:val="left"/>
      <w:pPr>
        <w:tabs>
          <w:tab w:val="num" w:pos="5760"/>
        </w:tabs>
        <w:ind w:left="5760" w:hanging="360"/>
      </w:pPr>
      <w:rPr>
        <w:rFonts w:ascii="Symbol" w:hAnsi="Symbol" w:hint="default"/>
      </w:rPr>
    </w:lvl>
    <w:lvl w:ilvl="7" w:tplc="04250003" w:tentative="1">
      <w:start w:val="1"/>
      <w:numFmt w:val="bullet"/>
      <w:lvlText w:val="o"/>
      <w:lvlJc w:val="left"/>
      <w:pPr>
        <w:tabs>
          <w:tab w:val="num" w:pos="6480"/>
        </w:tabs>
        <w:ind w:left="6480" w:hanging="360"/>
      </w:pPr>
      <w:rPr>
        <w:rFonts w:ascii="Courier New" w:hAnsi="Courier New" w:hint="default"/>
      </w:rPr>
    </w:lvl>
    <w:lvl w:ilvl="8" w:tplc="04250005" w:tentative="1">
      <w:start w:val="1"/>
      <w:numFmt w:val="bullet"/>
      <w:lvlText w:val=""/>
      <w:lvlJc w:val="left"/>
      <w:pPr>
        <w:tabs>
          <w:tab w:val="num" w:pos="7200"/>
        </w:tabs>
        <w:ind w:left="7200" w:hanging="360"/>
      </w:pPr>
      <w:rPr>
        <w:rFonts w:ascii="Wingdings" w:hAnsi="Wingdings" w:hint="default"/>
      </w:rPr>
    </w:lvl>
  </w:abstractNum>
  <w:abstractNum w:abstractNumId="19">
    <w:nsid w:val="5FAB73DD"/>
    <w:multiLevelType w:val="hybridMultilevel"/>
    <w:tmpl w:val="73D061E2"/>
    <w:lvl w:ilvl="0" w:tplc="254A0196">
      <w:start w:val="1"/>
      <w:numFmt w:val="bullet"/>
      <w:lvlText w:val="­"/>
      <w:lvlJc w:val="left"/>
      <w:pPr>
        <w:tabs>
          <w:tab w:val="num" w:pos="720"/>
        </w:tabs>
        <w:ind w:left="720" w:hanging="360"/>
      </w:pPr>
      <w:rPr>
        <w:rFonts w:ascii="Courier New" w:hAnsi="Courier New"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nsid w:val="658D0E1E"/>
    <w:multiLevelType w:val="hybridMultilevel"/>
    <w:tmpl w:val="9F587FC4"/>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1">
    <w:nsid w:val="66646985"/>
    <w:multiLevelType w:val="hybridMultilevel"/>
    <w:tmpl w:val="A2D8A9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6A784E4A"/>
    <w:multiLevelType w:val="hybridMultilevel"/>
    <w:tmpl w:val="8D0EEA56"/>
    <w:lvl w:ilvl="0" w:tplc="04250001">
      <w:start w:val="1"/>
      <w:numFmt w:val="bullet"/>
      <w:lvlText w:val=""/>
      <w:lvlJc w:val="left"/>
      <w:pPr>
        <w:tabs>
          <w:tab w:val="num" w:pos="1080"/>
        </w:tabs>
        <w:ind w:left="1080" w:hanging="36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3">
    <w:nsid w:val="6A8949BA"/>
    <w:multiLevelType w:val="hybridMultilevel"/>
    <w:tmpl w:val="30CA286E"/>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4">
    <w:nsid w:val="6CC87727"/>
    <w:multiLevelType w:val="hybridMultilevel"/>
    <w:tmpl w:val="BD18B81C"/>
    <w:lvl w:ilvl="0" w:tplc="254A0196">
      <w:start w:val="1"/>
      <w:numFmt w:val="bullet"/>
      <w:lvlText w:val="­"/>
      <w:lvlJc w:val="left"/>
      <w:pPr>
        <w:tabs>
          <w:tab w:val="num" w:pos="720"/>
        </w:tabs>
        <w:ind w:left="720" w:hanging="360"/>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5">
    <w:nsid w:val="6DF340A3"/>
    <w:multiLevelType w:val="hybridMultilevel"/>
    <w:tmpl w:val="CA4C707A"/>
    <w:lvl w:ilvl="0" w:tplc="04250003">
      <w:start w:val="1"/>
      <w:numFmt w:val="bullet"/>
      <w:lvlText w:val="o"/>
      <w:lvlJc w:val="left"/>
      <w:pPr>
        <w:tabs>
          <w:tab w:val="num" w:pos="1437"/>
        </w:tabs>
        <w:ind w:left="1437" w:hanging="360"/>
      </w:pPr>
      <w:rPr>
        <w:rFonts w:ascii="Courier New" w:hAnsi="Courier New" w:cs="Courier New" w:hint="default"/>
      </w:rPr>
    </w:lvl>
    <w:lvl w:ilvl="1" w:tplc="04250003" w:tentative="1">
      <w:start w:val="1"/>
      <w:numFmt w:val="bullet"/>
      <w:lvlText w:val="o"/>
      <w:lvlJc w:val="left"/>
      <w:pPr>
        <w:tabs>
          <w:tab w:val="num" w:pos="1797"/>
        </w:tabs>
        <w:ind w:left="1797" w:hanging="360"/>
      </w:pPr>
      <w:rPr>
        <w:rFonts w:ascii="Courier New" w:hAnsi="Courier New" w:cs="Courier New" w:hint="default"/>
      </w:rPr>
    </w:lvl>
    <w:lvl w:ilvl="2" w:tplc="04250005" w:tentative="1">
      <w:start w:val="1"/>
      <w:numFmt w:val="bullet"/>
      <w:lvlText w:val=""/>
      <w:lvlJc w:val="left"/>
      <w:pPr>
        <w:tabs>
          <w:tab w:val="num" w:pos="2517"/>
        </w:tabs>
        <w:ind w:left="2517" w:hanging="360"/>
      </w:pPr>
      <w:rPr>
        <w:rFonts w:ascii="Wingdings" w:hAnsi="Wingdings" w:hint="default"/>
      </w:rPr>
    </w:lvl>
    <w:lvl w:ilvl="3" w:tplc="04250001" w:tentative="1">
      <w:start w:val="1"/>
      <w:numFmt w:val="bullet"/>
      <w:lvlText w:val=""/>
      <w:lvlJc w:val="left"/>
      <w:pPr>
        <w:tabs>
          <w:tab w:val="num" w:pos="3237"/>
        </w:tabs>
        <w:ind w:left="3237" w:hanging="360"/>
      </w:pPr>
      <w:rPr>
        <w:rFonts w:ascii="Symbol" w:hAnsi="Symbol" w:hint="default"/>
      </w:rPr>
    </w:lvl>
    <w:lvl w:ilvl="4" w:tplc="04250003" w:tentative="1">
      <w:start w:val="1"/>
      <w:numFmt w:val="bullet"/>
      <w:lvlText w:val="o"/>
      <w:lvlJc w:val="left"/>
      <w:pPr>
        <w:tabs>
          <w:tab w:val="num" w:pos="3957"/>
        </w:tabs>
        <w:ind w:left="3957" w:hanging="360"/>
      </w:pPr>
      <w:rPr>
        <w:rFonts w:ascii="Courier New" w:hAnsi="Courier New" w:cs="Courier New" w:hint="default"/>
      </w:rPr>
    </w:lvl>
    <w:lvl w:ilvl="5" w:tplc="04250005" w:tentative="1">
      <w:start w:val="1"/>
      <w:numFmt w:val="bullet"/>
      <w:lvlText w:val=""/>
      <w:lvlJc w:val="left"/>
      <w:pPr>
        <w:tabs>
          <w:tab w:val="num" w:pos="4677"/>
        </w:tabs>
        <w:ind w:left="4677" w:hanging="360"/>
      </w:pPr>
      <w:rPr>
        <w:rFonts w:ascii="Wingdings" w:hAnsi="Wingdings" w:hint="default"/>
      </w:rPr>
    </w:lvl>
    <w:lvl w:ilvl="6" w:tplc="04250001" w:tentative="1">
      <w:start w:val="1"/>
      <w:numFmt w:val="bullet"/>
      <w:lvlText w:val=""/>
      <w:lvlJc w:val="left"/>
      <w:pPr>
        <w:tabs>
          <w:tab w:val="num" w:pos="5397"/>
        </w:tabs>
        <w:ind w:left="5397" w:hanging="360"/>
      </w:pPr>
      <w:rPr>
        <w:rFonts w:ascii="Symbol" w:hAnsi="Symbol" w:hint="default"/>
      </w:rPr>
    </w:lvl>
    <w:lvl w:ilvl="7" w:tplc="04250003" w:tentative="1">
      <w:start w:val="1"/>
      <w:numFmt w:val="bullet"/>
      <w:lvlText w:val="o"/>
      <w:lvlJc w:val="left"/>
      <w:pPr>
        <w:tabs>
          <w:tab w:val="num" w:pos="6117"/>
        </w:tabs>
        <w:ind w:left="6117" w:hanging="360"/>
      </w:pPr>
      <w:rPr>
        <w:rFonts w:ascii="Courier New" w:hAnsi="Courier New" w:cs="Courier New" w:hint="default"/>
      </w:rPr>
    </w:lvl>
    <w:lvl w:ilvl="8" w:tplc="04250005" w:tentative="1">
      <w:start w:val="1"/>
      <w:numFmt w:val="bullet"/>
      <w:lvlText w:val=""/>
      <w:lvlJc w:val="left"/>
      <w:pPr>
        <w:tabs>
          <w:tab w:val="num" w:pos="6837"/>
        </w:tabs>
        <w:ind w:left="6837" w:hanging="360"/>
      </w:pPr>
      <w:rPr>
        <w:rFonts w:ascii="Wingdings" w:hAnsi="Wingdings" w:hint="default"/>
      </w:rPr>
    </w:lvl>
  </w:abstractNum>
  <w:abstractNum w:abstractNumId="26">
    <w:nsid w:val="722A0748"/>
    <w:multiLevelType w:val="hybridMultilevel"/>
    <w:tmpl w:val="0C28B2EC"/>
    <w:lvl w:ilvl="0" w:tplc="60565548">
      <w:start w:val="28"/>
      <w:numFmt w:val="bullet"/>
      <w:lvlText w:val="–"/>
      <w:lvlJc w:val="left"/>
      <w:pPr>
        <w:tabs>
          <w:tab w:val="num" w:pos="720"/>
        </w:tabs>
        <w:ind w:left="720" w:hanging="360"/>
      </w:pPr>
      <w:rPr>
        <w:rFonts w:ascii="System" w:eastAsia="System" w:hAnsi="System" w:cs="System"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7">
    <w:nsid w:val="7A14287D"/>
    <w:multiLevelType w:val="hybridMultilevel"/>
    <w:tmpl w:val="78A823E6"/>
    <w:lvl w:ilvl="0" w:tplc="0425000F">
      <w:start w:val="1"/>
      <w:numFmt w:val="decimal"/>
      <w:lvlText w:val="%1."/>
      <w:lvlJc w:val="left"/>
      <w:pPr>
        <w:tabs>
          <w:tab w:val="num" w:pos="720"/>
        </w:tabs>
        <w:ind w:left="720" w:hanging="360"/>
      </w:pPr>
    </w:lvl>
    <w:lvl w:ilvl="1" w:tplc="254A0196">
      <w:start w:val="1"/>
      <w:numFmt w:val="bullet"/>
      <w:lvlText w:val="­"/>
      <w:lvlJc w:val="left"/>
      <w:pPr>
        <w:tabs>
          <w:tab w:val="num" w:pos="1440"/>
        </w:tabs>
        <w:ind w:left="1440" w:hanging="360"/>
      </w:pPr>
      <w:rPr>
        <w:rFonts w:ascii="Courier New" w:hAnsi="Courier New"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8">
    <w:nsid w:val="7C1C0796"/>
    <w:multiLevelType w:val="hybridMultilevel"/>
    <w:tmpl w:val="5106EC4E"/>
    <w:lvl w:ilvl="0" w:tplc="0425000F">
      <w:start w:val="1"/>
      <w:numFmt w:val="decimal"/>
      <w:lvlText w:val="%1."/>
      <w:lvlJc w:val="left"/>
      <w:pPr>
        <w:tabs>
          <w:tab w:val="num" w:pos="1080"/>
        </w:tabs>
        <w:ind w:left="1080" w:hanging="360"/>
      </w:pPr>
    </w:lvl>
    <w:lvl w:ilvl="1" w:tplc="04250019" w:tentative="1">
      <w:start w:val="1"/>
      <w:numFmt w:val="lowerLetter"/>
      <w:lvlText w:val="%2."/>
      <w:lvlJc w:val="left"/>
      <w:pPr>
        <w:tabs>
          <w:tab w:val="num" w:pos="1800"/>
        </w:tabs>
        <w:ind w:left="1800" w:hanging="360"/>
      </w:pPr>
    </w:lvl>
    <w:lvl w:ilvl="2" w:tplc="0425001B" w:tentative="1">
      <w:start w:val="1"/>
      <w:numFmt w:val="lowerRoman"/>
      <w:lvlText w:val="%3."/>
      <w:lvlJc w:val="right"/>
      <w:pPr>
        <w:tabs>
          <w:tab w:val="num" w:pos="2520"/>
        </w:tabs>
        <w:ind w:left="2520" w:hanging="180"/>
      </w:pPr>
    </w:lvl>
    <w:lvl w:ilvl="3" w:tplc="0425000F" w:tentative="1">
      <w:start w:val="1"/>
      <w:numFmt w:val="decimal"/>
      <w:lvlText w:val="%4."/>
      <w:lvlJc w:val="left"/>
      <w:pPr>
        <w:tabs>
          <w:tab w:val="num" w:pos="3240"/>
        </w:tabs>
        <w:ind w:left="3240" w:hanging="360"/>
      </w:pPr>
    </w:lvl>
    <w:lvl w:ilvl="4" w:tplc="04250019" w:tentative="1">
      <w:start w:val="1"/>
      <w:numFmt w:val="lowerLetter"/>
      <w:lvlText w:val="%5."/>
      <w:lvlJc w:val="left"/>
      <w:pPr>
        <w:tabs>
          <w:tab w:val="num" w:pos="3960"/>
        </w:tabs>
        <w:ind w:left="3960" w:hanging="360"/>
      </w:pPr>
    </w:lvl>
    <w:lvl w:ilvl="5" w:tplc="0425001B" w:tentative="1">
      <w:start w:val="1"/>
      <w:numFmt w:val="lowerRoman"/>
      <w:lvlText w:val="%6."/>
      <w:lvlJc w:val="right"/>
      <w:pPr>
        <w:tabs>
          <w:tab w:val="num" w:pos="4680"/>
        </w:tabs>
        <w:ind w:left="4680" w:hanging="180"/>
      </w:pPr>
    </w:lvl>
    <w:lvl w:ilvl="6" w:tplc="0425000F" w:tentative="1">
      <w:start w:val="1"/>
      <w:numFmt w:val="decimal"/>
      <w:lvlText w:val="%7."/>
      <w:lvlJc w:val="left"/>
      <w:pPr>
        <w:tabs>
          <w:tab w:val="num" w:pos="5400"/>
        </w:tabs>
        <w:ind w:left="5400" w:hanging="360"/>
      </w:pPr>
    </w:lvl>
    <w:lvl w:ilvl="7" w:tplc="04250019" w:tentative="1">
      <w:start w:val="1"/>
      <w:numFmt w:val="lowerLetter"/>
      <w:lvlText w:val="%8."/>
      <w:lvlJc w:val="left"/>
      <w:pPr>
        <w:tabs>
          <w:tab w:val="num" w:pos="6120"/>
        </w:tabs>
        <w:ind w:left="6120" w:hanging="360"/>
      </w:pPr>
    </w:lvl>
    <w:lvl w:ilvl="8" w:tplc="0425001B" w:tentative="1">
      <w:start w:val="1"/>
      <w:numFmt w:val="lowerRoman"/>
      <w:lvlText w:val="%9."/>
      <w:lvlJc w:val="right"/>
      <w:pPr>
        <w:tabs>
          <w:tab w:val="num" w:pos="6840"/>
        </w:tabs>
        <w:ind w:left="6840" w:hanging="180"/>
      </w:pPr>
    </w:lvl>
  </w:abstractNum>
  <w:abstractNum w:abstractNumId="29">
    <w:nsid w:val="7C6744CE"/>
    <w:multiLevelType w:val="hybridMultilevel"/>
    <w:tmpl w:val="CB6EBB7C"/>
    <w:lvl w:ilvl="0" w:tplc="2E443362">
      <w:start w:val="1"/>
      <w:numFmt w:val="bullet"/>
      <w:lvlText w:val=""/>
      <w:lvlPicBulletId w:val="0"/>
      <w:lvlJc w:val="left"/>
      <w:pPr>
        <w:tabs>
          <w:tab w:val="num" w:pos="360"/>
        </w:tabs>
        <w:ind w:left="360" w:hanging="360"/>
      </w:pPr>
      <w:rPr>
        <w:rFonts w:ascii="Symbol" w:hAnsi="Symbol" w:hint="default"/>
      </w:rPr>
    </w:lvl>
    <w:lvl w:ilvl="1" w:tplc="B0B6AC00" w:tentative="1">
      <w:start w:val="1"/>
      <w:numFmt w:val="bullet"/>
      <w:lvlText w:val=""/>
      <w:lvlJc w:val="left"/>
      <w:pPr>
        <w:tabs>
          <w:tab w:val="num" w:pos="1080"/>
        </w:tabs>
        <w:ind w:left="1080" w:hanging="360"/>
      </w:pPr>
      <w:rPr>
        <w:rFonts w:ascii="Symbol" w:hAnsi="Symbol" w:hint="default"/>
      </w:rPr>
    </w:lvl>
    <w:lvl w:ilvl="2" w:tplc="1CA4343C" w:tentative="1">
      <w:start w:val="1"/>
      <w:numFmt w:val="bullet"/>
      <w:lvlText w:val=""/>
      <w:lvlJc w:val="left"/>
      <w:pPr>
        <w:tabs>
          <w:tab w:val="num" w:pos="1800"/>
        </w:tabs>
        <w:ind w:left="1800" w:hanging="360"/>
      </w:pPr>
      <w:rPr>
        <w:rFonts w:ascii="Symbol" w:hAnsi="Symbol" w:hint="default"/>
      </w:rPr>
    </w:lvl>
    <w:lvl w:ilvl="3" w:tplc="42AAF522" w:tentative="1">
      <w:start w:val="1"/>
      <w:numFmt w:val="bullet"/>
      <w:lvlText w:val=""/>
      <w:lvlJc w:val="left"/>
      <w:pPr>
        <w:tabs>
          <w:tab w:val="num" w:pos="2520"/>
        </w:tabs>
        <w:ind w:left="2520" w:hanging="360"/>
      </w:pPr>
      <w:rPr>
        <w:rFonts w:ascii="Symbol" w:hAnsi="Symbol" w:hint="default"/>
      </w:rPr>
    </w:lvl>
    <w:lvl w:ilvl="4" w:tplc="B4CC9EC2" w:tentative="1">
      <w:start w:val="1"/>
      <w:numFmt w:val="bullet"/>
      <w:lvlText w:val=""/>
      <w:lvlJc w:val="left"/>
      <w:pPr>
        <w:tabs>
          <w:tab w:val="num" w:pos="3240"/>
        </w:tabs>
        <w:ind w:left="3240" w:hanging="360"/>
      </w:pPr>
      <w:rPr>
        <w:rFonts w:ascii="Symbol" w:hAnsi="Symbol" w:hint="default"/>
      </w:rPr>
    </w:lvl>
    <w:lvl w:ilvl="5" w:tplc="E25C9874" w:tentative="1">
      <w:start w:val="1"/>
      <w:numFmt w:val="bullet"/>
      <w:lvlText w:val=""/>
      <w:lvlJc w:val="left"/>
      <w:pPr>
        <w:tabs>
          <w:tab w:val="num" w:pos="3960"/>
        </w:tabs>
        <w:ind w:left="3960" w:hanging="360"/>
      </w:pPr>
      <w:rPr>
        <w:rFonts w:ascii="Symbol" w:hAnsi="Symbol" w:hint="default"/>
      </w:rPr>
    </w:lvl>
    <w:lvl w:ilvl="6" w:tplc="2F0667AC" w:tentative="1">
      <w:start w:val="1"/>
      <w:numFmt w:val="bullet"/>
      <w:lvlText w:val=""/>
      <w:lvlJc w:val="left"/>
      <w:pPr>
        <w:tabs>
          <w:tab w:val="num" w:pos="4680"/>
        </w:tabs>
        <w:ind w:left="4680" w:hanging="360"/>
      </w:pPr>
      <w:rPr>
        <w:rFonts w:ascii="Symbol" w:hAnsi="Symbol" w:hint="default"/>
      </w:rPr>
    </w:lvl>
    <w:lvl w:ilvl="7" w:tplc="933E35FE" w:tentative="1">
      <w:start w:val="1"/>
      <w:numFmt w:val="bullet"/>
      <w:lvlText w:val=""/>
      <w:lvlJc w:val="left"/>
      <w:pPr>
        <w:tabs>
          <w:tab w:val="num" w:pos="5400"/>
        </w:tabs>
        <w:ind w:left="5400" w:hanging="360"/>
      </w:pPr>
      <w:rPr>
        <w:rFonts w:ascii="Symbol" w:hAnsi="Symbol" w:hint="default"/>
      </w:rPr>
    </w:lvl>
    <w:lvl w:ilvl="8" w:tplc="BFFE09AA" w:tentative="1">
      <w:start w:val="1"/>
      <w:numFmt w:val="bullet"/>
      <w:lvlText w:val=""/>
      <w:lvlJc w:val="left"/>
      <w:pPr>
        <w:tabs>
          <w:tab w:val="num" w:pos="6120"/>
        </w:tabs>
        <w:ind w:left="6120" w:hanging="360"/>
      </w:pPr>
      <w:rPr>
        <w:rFonts w:ascii="Symbol" w:hAnsi="Symbol" w:hint="default"/>
      </w:rPr>
    </w:lvl>
  </w:abstractNum>
  <w:num w:numId="1">
    <w:abstractNumId w:val="29"/>
  </w:num>
  <w:num w:numId="2">
    <w:abstractNumId w:val="7"/>
  </w:num>
  <w:num w:numId="3">
    <w:abstractNumId w:val="23"/>
  </w:num>
  <w:num w:numId="4">
    <w:abstractNumId w:val="22"/>
  </w:num>
  <w:num w:numId="5">
    <w:abstractNumId w:val="25"/>
  </w:num>
  <w:num w:numId="6">
    <w:abstractNumId w:val="28"/>
  </w:num>
  <w:num w:numId="7">
    <w:abstractNumId w:val="24"/>
  </w:num>
  <w:num w:numId="8">
    <w:abstractNumId w:val="15"/>
  </w:num>
  <w:num w:numId="9">
    <w:abstractNumId w:val="9"/>
  </w:num>
  <w:num w:numId="10">
    <w:abstractNumId w:val="13"/>
  </w:num>
  <w:num w:numId="11">
    <w:abstractNumId w:val="6"/>
  </w:num>
  <w:num w:numId="12">
    <w:abstractNumId w:val="11"/>
  </w:num>
  <w:num w:numId="13">
    <w:abstractNumId w:val="20"/>
  </w:num>
  <w:num w:numId="14">
    <w:abstractNumId w:val="27"/>
  </w:num>
  <w:num w:numId="15">
    <w:abstractNumId w:val="10"/>
  </w:num>
  <w:num w:numId="16">
    <w:abstractNumId w:val="8"/>
  </w:num>
  <w:num w:numId="17">
    <w:abstractNumId w:val="17"/>
  </w:num>
  <w:num w:numId="18">
    <w:abstractNumId w:val="12"/>
  </w:num>
  <w:num w:numId="19">
    <w:abstractNumId w:val="3"/>
  </w:num>
  <w:num w:numId="20">
    <w:abstractNumId w:val="19"/>
  </w:num>
  <w:num w:numId="21">
    <w:abstractNumId w:val="1"/>
  </w:num>
  <w:num w:numId="22">
    <w:abstractNumId w:val="16"/>
  </w:num>
  <w:num w:numId="23">
    <w:abstractNumId w:val="14"/>
  </w:num>
  <w:num w:numId="24">
    <w:abstractNumId w:val="18"/>
  </w:num>
  <w:num w:numId="25">
    <w:abstractNumId w:val="4"/>
  </w:num>
  <w:num w:numId="26">
    <w:abstractNumId w:val="0"/>
  </w:num>
  <w:num w:numId="27">
    <w:abstractNumId w:val="26"/>
  </w:num>
  <w:num w:numId="28">
    <w:abstractNumId w:val="21"/>
  </w:num>
  <w:num w:numId="29">
    <w:abstractNumId w:val="5"/>
  </w:num>
  <w:num w:numId="30">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0123B"/>
    <w:rsid w:val="0000111E"/>
    <w:rsid w:val="00001B6D"/>
    <w:rsid w:val="0000257F"/>
    <w:rsid w:val="000027A2"/>
    <w:rsid w:val="00003CAD"/>
    <w:rsid w:val="0000567B"/>
    <w:rsid w:val="0000587F"/>
    <w:rsid w:val="00006C7B"/>
    <w:rsid w:val="00006DC4"/>
    <w:rsid w:val="000074C8"/>
    <w:rsid w:val="000075BD"/>
    <w:rsid w:val="000104E5"/>
    <w:rsid w:val="00012ED4"/>
    <w:rsid w:val="0001439E"/>
    <w:rsid w:val="000152B5"/>
    <w:rsid w:val="000154AA"/>
    <w:rsid w:val="00016A82"/>
    <w:rsid w:val="00016A9F"/>
    <w:rsid w:val="0001731D"/>
    <w:rsid w:val="00021640"/>
    <w:rsid w:val="0002176F"/>
    <w:rsid w:val="00023CC5"/>
    <w:rsid w:val="000260CF"/>
    <w:rsid w:val="00026930"/>
    <w:rsid w:val="00027A94"/>
    <w:rsid w:val="00031B5E"/>
    <w:rsid w:val="000322B1"/>
    <w:rsid w:val="00032F56"/>
    <w:rsid w:val="0003334E"/>
    <w:rsid w:val="00033788"/>
    <w:rsid w:val="000345B3"/>
    <w:rsid w:val="00034F79"/>
    <w:rsid w:val="000358D9"/>
    <w:rsid w:val="00035DFF"/>
    <w:rsid w:val="000363DD"/>
    <w:rsid w:val="000364A6"/>
    <w:rsid w:val="00036737"/>
    <w:rsid w:val="00036DEF"/>
    <w:rsid w:val="00037842"/>
    <w:rsid w:val="00041A40"/>
    <w:rsid w:val="00041DD2"/>
    <w:rsid w:val="0004326B"/>
    <w:rsid w:val="00044E48"/>
    <w:rsid w:val="0004653E"/>
    <w:rsid w:val="00046720"/>
    <w:rsid w:val="00046EEA"/>
    <w:rsid w:val="00047FA6"/>
    <w:rsid w:val="000508D4"/>
    <w:rsid w:val="00050A04"/>
    <w:rsid w:val="00050C1B"/>
    <w:rsid w:val="00050C7B"/>
    <w:rsid w:val="0005268D"/>
    <w:rsid w:val="000537F0"/>
    <w:rsid w:val="00053A7D"/>
    <w:rsid w:val="000543EC"/>
    <w:rsid w:val="0005497D"/>
    <w:rsid w:val="00054E18"/>
    <w:rsid w:val="000557C3"/>
    <w:rsid w:val="00056BC6"/>
    <w:rsid w:val="000600CD"/>
    <w:rsid w:val="00060854"/>
    <w:rsid w:val="000619E3"/>
    <w:rsid w:val="00061B78"/>
    <w:rsid w:val="00061E2C"/>
    <w:rsid w:val="00062C79"/>
    <w:rsid w:val="000641A1"/>
    <w:rsid w:val="00064268"/>
    <w:rsid w:val="000642D5"/>
    <w:rsid w:val="000661B4"/>
    <w:rsid w:val="0006685B"/>
    <w:rsid w:val="00066E67"/>
    <w:rsid w:val="000672C0"/>
    <w:rsid w:val="000675B4"/>
    <w:rsid w:val="000711AB"/>
    <w:rsid w:val="00072D6D"/>
    <w:rsid w:val="00073752"/>
    <w:rsid w:val="00073D7A"/>
    <w:rsid w:val="00075C45"/>
    <w:rsid w:val="00076560"/>
    <w:rsid w:val="000766A2"/>
    <w:rsid w:val="000770EF"/>
    <w:rsid w:val="000778E9"/>
    <w:rsid w:val="0007796E"/>
    <w:rsid w:val="00077C69"/>
    <w:rsid w:val="00080516"/>
    <w:rsid w:val="00081381"/>
    <w:rsid w:val="00081401"/>
    <w:rsid w:val="00082454"/>
    <w:rsid w:val="000845D4"/>
    <w:rsid w:val="00084644"/>
    <w:rsid w:val="000858A6"/>
    <w:rsid w:val="00085C1B"/>
    <w:rsid w:val="000864A0"/>
    <w:rsid w:val="00087183"/>
    <w:rsid w:val="00090887"/>
    <w:rsid w:val="00090DE8"/>
    <w:rsid w:val="00091EE3"/>
    <w:rsid w:val="000931C3"/>
    <w:rsid w:val="0009334C"/>
    <w:rsid w:val="00093BA0"/>
    <w:rsid w:val="00095BE4"/>
    <w:rsid w:val="000A025A"/>
    <w:rsid w:val="000A0587"/>
    <w:rsid w:val="000A0F81"/>
    <w:rsid w:val="000A10C7"/>
    <w:rsid w:val="000A172A"/>
    <w:rsid w:val="000A257D"/>
    <w:rsid w:val="000A3B93"/>
    <w:rsid w:val="000A4240"/>
    <w:rsid w:val="000A451F"/>
    <w:rsid w:val="000A585C"/>
    <w:rsid w:val="000A5B79"/>
    <w:rsid w:val="000A62C0"/>
    <w:rsid w:val="000A6717"/>
    <w:rsid w:val="000B09F2"/>
    <w:rsid w:val="000B1787"/>
    <w:rsid w:val="000B1E7E"/>
    <w:rsid w:val="000B3A21"/>
    <w:rsid w:val="000B4573"/>
    <w:rsid w:val="000C011F"/>
    <w:rsid w:val="000C164F"/>
    <w:rsid w:val="000C2237"/>
    <w:rsid w:val="000C2A51"/>
    <w:rsid w:val="000C2B49"/>
    <w:rsid w:val="000C4F18"/>
    <w:rsid w:val="000C5265"/>
    <w:rsid w:val="000C5E97"/>
    <w:rsid w:val="000C6216"/>
    <w:rsid w:val="000C6D6A"/>
    <w:rsid w:val="000C7E32"/>
    <w:rsid w:val="000D1623"/>
    <w:rsid w:val="000D29B5"/>
    <w:rsid w:val="000D3513"/>
    <w:rsid w:val="000D3D0D"/>
    <w:rsid w:val="000D405B"/>
    <w:rsid w:val="000D5F94"/>
    <w:rsid w:val="000D68B1"/>
    <w:rsid w:val="000D691A"/>
    <w:rsid w:val="000D70F9"/>
    <w:rsid w:val="000E0527"/>
    <w:rsid w:val="000E2883"/>
    <w:rsid w:val="000E292E"/>
    <w:rsid w:val="000E37A8"/>
    <w:rsid w:val="000E3A33"/>
    <w:rsid w:val="000E3DC9"/>
    <w:rsid w:val="000E4185"/>
    <w:rsid w:val="000E4310"/>
    <w:rsid w:val="000E5106"/>
    <w:rsid w:val="000E61C2"/>
    <w:rsid w:val="000E6950"/>
    <w:rsid w:val="000E78D3"/>
    <w:rsid w:val="000F0E01"/>
    <w:rsid w:val="000F1300"/>
    <w:rsid w:val="000F4853"/>
    <w:rsid w:val="000F504B"/>
    <w:rsid w:val="000F54CB"/>
    <w:rsid w:val="000F5754"/>
    <w:rsid w:val="000F69CF"/>
    <w:rsid w:val="000F7FC8"/>
    <w:rsid w:val="00102B59"/>
    <w:rsid w:val="00106FEA"/>
    <w:rsid w:val="001077C7"/>
    <w:rsid w:val="00107B4E"/>
    <w:rsid w:val="0011281B"/>
    <w:rsid w:val="00112D19"/>
    <w:rsid w:val="00113215"/>
    <w:rsid w:val="00113662"/>
    <w:rsid w:val="00114A20"/>
    <w:rsid w:val="00115A01"/>
    <w:rsid w:val="001171B9"/>
    <w:rsid w:val="00117754"/>
    <w:rsid w:val="0012026F"/>
    <w:rsid w:val="00121074"/>
    <w:rsid w:val="001220C2"/>
    <w:rsid w:val="0012243C"/>
    <w:rsid w:val="00124201"/>
    <w:rsid w:val="00125342"/>
    <w:rsid w:val="001260A0"/>
    <w:rsid w:val="00126FAA"/>
    <w:rsid w:val="001270E5"/>
    <w:rsid w:val="0013173B"/>
    <w:rsid w:val="00132504"/>
    <w:rsid w:val="00132C89"/>
    <w:rsid w:val="001335C9"/>
    <w:rsid w:val="0013394B"/>
    <w:rsid w:val="0013637E"/>
    <w:rsid w:val="00136913"/>
    <w:rsid w:val="00137028"/>
    <w:rsid w:val="001372A7"/>
    <w:rsid w:val="001402C6"/>
    <w:rsid w:val="00140452"/>
    <w:rsid w:val="00141BFA"/>
    <w:rsid w:val="00142496"/>
    <w:rsid w:val="00144788"/>
    <w:rsid w:val="00144D95"/>
    <w:rsid w:val="0014578A"/>
    <w:rsid w:val="00146B3C"/>
    <w:rsid w:val="00147828"/>
    <w:rsid w:val="001509DA"/>
    <w:rsid w:val="00150D53"/>
    <w:rsid w:val="00155200"/>
    <w:rsid w:val="0015734D"/>
    <w:rsid w:val="00157FF4"/>
    <w:rsid w:val="001600C0"/>
    <w:rsid w:val="00161AE7"/>
    <w:rsid w:val="0016212E"/>
    <w:rsid w:val="0016294F"/>
    <w:rsid w:val="0016462D"/>
    <w:rsid w:val="0016531E"/>
    <w:rsid w:val="00166F7F"/>
    <w:rsid w:val="0016798E"/>
    <w:rsid w:val="00167A5A"/>
    <w:rsid w:val="00170C0A"/>
    <w:rsid w:val="0017124C"/>
    <w:rsid w:val="00171B9E"/>
    <w:rsid w:val="00171C3C"/>
    <w:rsid w:val="0017247D"/>
    <w:rsid w:val="00172BAF"/>
    <w:rsid w:val="001731CC"/>
    <w:rsid w:val="00173819"/>
    <w:rsid w:val="00174F04"/>
    <w:rsid w:val="00175532"/>
    <w:rsid w:val="0017592F"/>
    <w:rsid w:val="00177E71"/>
    <w:rsid w:val="001802D4"/>
    <w:rsid w:val="00180A84"/>
    <w:rsid w:val="00182E02"/>
    <w:rsid w:val="0018303F"/>
    <w:rsid w:val="0018346E"/>
    <w:rsid w:val="001838FD"/>
    <w:rsid w:val="001849E9"/>
    <w:rsid w:val="00184E21"/>
    <w:rsid w:val="00185629"/>
    <w:rsid w:val="00185BCB"/>
    <w:rsid w:val="00185EBA"/>
    <w:rsid w:val="00187676"/>
    <w:rsid w:val="001908AB"/>
    <w:rsid w:val="00192378"/>
    <w:rsid w:val="00192DBF"/>
    <w:rsid w:val="00192F3B"/>
    <w:rsid w:val="0019400B"/>
    <w:rsid w:val="00194010"/>
    <w:rsid w:val="00194E07"/>
    <w:rsid w:val="00195F53"/>
    <w:rsid w:val="001A3543"/>
    <w:rsid w:val="001A3ECF"/>
    <w:rsid w:val="001A41DE"/>
    <w:rsid w:val="001A7D28"/>
    <w:rsid w:val="001B0F54"/>
    <w:rsid w:val="001B1031"/>
    <w:rsid w:val="001B14C6"/>
    <w:rsid w:val="001B18F0"/>
    <w:rsid w:val="001B2DE0"/>
    <w:rsid w:val="001B3097"/>
    <w:rsid w:val="001B3279"/>
    <w:rsid w:val="001B328E"/>
    <w:rsid w:val="001B3ABA"/>
    <w:rsid w:val="001B4648"/>
    <w:rsid w:val="001B4917"/>
    <w:rsid w:val="001B5309"/>
    <w:rsid w:val="001B538D"/>
    <w:rsid w:val="001B53C1"/>
    <w:rsid w:val="001B5E7F"/>
    <w:rsid w:val="001B667D"/>
    <w:rsid w:val="001C022F"/>
    <w:rsid w:val="001C0AC9"/>
    <w:rsid w:val="001C2903"/>
    <w:rsid w:val="001C316B"/>
    <w:rsid w:val="001C3F62"/>
    <w:rsid w:val="001C4D4A"/>
    <w:rsid w:val="001C4FD4"/>
    <w:rsid w:val="001C5BC7"/>
    <w:rsid w:val="001D02D7"/>
    <w:rsid w:val="001D1C56"/>
    <w:rsid w:val="001D1D63"/>
    <w:rsid w:val="001D3D60"/>
    <w:rsid w:val="001D45AF"/>
    <w:rsid w:val="001D5B2C"/>
    <w:rsid w:val="001D6478"/>
    <w:rsid w:val="001D654E"/>
    <w:rsid w:val="001E109A"/>
    <w:rsid w:val="001E12C8"/>
    <w:rsid w:val="001E278D"/>
    <w:rsid w:val="001E3EA9"/>
    <w:rsid w:val="001E4F93"/>
    <w:rsid w:val="001E56FE"/>
    <w:rsid w:val="001E5733"/>
    <w:rsid w:val="001F058E"/>
    <w:rsid w:val="001F0CE1"/>
    <w:rsid w:val="001F318A"/>
    <w:rsid w:val="001F3832"/>
    <w:rsid w:val="001F6C32"/>
    <w:rsid w:val="001F7A94"/>
    <w:rsid w:val="001F7E58"/>
    <w:rsid w:val="002016AC"/>
    <w:rsid w:val="002028A1"/>
    <w:rsid w:val="002031B7"/>
    <w:rsid w:val="002036E6"/>
    <w:rsid w:val="0020463E"/>
    <w:rsid w:val="002049F1"/>
    <w:rsid w:val="00205629"/>
    <w:rsid w:val="00205C18"/>
    <w:rsid w:val="00207F96"/>
    <w:rsid w:val="0021146A"/>
    <w:rsid w:val="002118FE"/>
    <w:rsid w:val="00211F2B"/>
    <w:rsid w:val="002129B1"/>
    <w:rsid w:val="00212B57"/>
    <w:rsid w:val="00213314"/>
    <w:rsid w:val="0021394C"/>
    <w:rsid w:val="00213A7E"/>
    <w:rsid w:val="00213DCF"/>
    <w:rsid w:val="00216239"/>
    <w:rsid w:val="0021739E"/>
    <w:rsid w:val="002176C7"/>
    <w:rsid w:val="002209DF"/>
    <w:rsid w:val="00220ABA"/>
    <w:rsid w:val="00223EBF"/>
    <w:rsid w:val="002253C3"/>
    <w:rsid w:val="002302E3"/>
    <w:rsid w:val="00230665"/>
    <w:rsid w:val="00231329"/>
    <w:rsid w:val="00231E45"/>
    <w:rsid w:val="00232312"/>
    <w:rsid w:val="002326C7"/>
    <w:rsid w:val="00237CE7"/>
    <w:rsid w:val="00237DAD"/>
    <w:rsid w:val="002417A1"/>
    <w:rsid w:val="00241A77"/>
    <w:rsid w:val="00241E46"/>
    <w:rsid w:val="0024230F"/>
    <w:rsid w:val="002423DB"/>
    <w:rsid w:val="00243247"/>
    <w:rsid w:val="002432FB"/>
    <w:rsid w:val="00245BE1"/>
    <w:rsid w:val="00247098"/>
    <w:rsid w:val="002472E4"/>
    <w:rsid w:val="0025038E"/>
    <w:rsid w:val="00250C58"/>
    <w:rsid w:val="00251080"/>
    <w:rsid w:val="002517FE"/>
    <w:rsid w:val="002519C8"/>
    <w:rsid w:val="00253163"/>
    <w:rsid w:val="0025321C"/>
    <w:rsid w:val="00254142"/>
    <w:rsid w:val="00254F95"/>
    <w:rsid w:val="002550C5"/>
    <w:rsid w:val="002557A7"/>
    <w:rsid w:val="00256E6F"/>
    <w:rsid w:val="0025751A"/>
    <w:rsid w:val="0026012F"/>
    <w:rsid w:val="002602A2"/>
    <w:rsid w:val="002610F3"/>
    <w:rsid w:val="002617F8"/>
    <w:rsid w:val="00262132"/>
    <w:rsid w:val="0026255C"/>
    <w:rsid w:val="002642D4"/>
    <w:rsid w:val="0026453F"/>
    <w:rsid w:val="00264FD8"/>
    <w:rsid w:val="00265380"/>
    <w:rsid w:val="002662B0"/>
    <w:rsid w:val="00267035"/>
    <w:rsid w:val="00272083"/>
    <w:rsid w:val="00275933"/>
    <w:rsid w:val="00275F42"/>
    <w:rsid w:val="00281F12"/>
    <w:rsid w:val="00283FE5"/>
    <w:rsid w:val="002847B3"/>
    <w:rsid w:val="0028492F"/>
    <w:rsid w:val="00286488"/>
    <w:rsid w:val="0028704E"/>
    <w:rsid w:val="00287669"/>
    <w:rsid w:val="00287FF7"/>
    <w:rsid w:val="0029036D"/>
    <w:rsid w:val="00291A93"/>
    <w:rsid w:val="00292029"/>
    <w:rsid w:val="002921BC"/>
    <w:rsid w:val="00293749"/>
    <w:rsid w:val="00294A25"/>
    <w:rsid w:val="00294E76"/>
    <w:rsid w:val="00294EF2"/>
    <w:rsid w:val="0029508F"/>
    <w:rsid w:val="00295139"/>
    <w:rsid w:val="0029609B"/>
    <w:rsid w:val="0029627C"/>
    <w:rsid w:val="0029664D"/>
    <w:rsid w:val="00296CC3"/>
    <w:rsid w:val="00297306"/>
    <w:rsid w:val="002974C0"/>
    <w:rsid w:val="00297A16"/>
    <w:rsid w:val="002A0989"/>
    <w:rsid w:val="002A1309"/>
    <w:rsid w:val="002A2916"/>
    <w:rsid w:val="002A3903"/>
    <w:rsid w:val="002A4519"/>
    <w:rsid w:val="002A4C05"/>
    <w:rsid w:val="002B17E1"/>
    <w:rsid w:val="002B1C83"/>
    <w:rsid w:val="002B1FF7"/>
    <w:rsid w:val="002B237A"/>
    <w:rsid w:val="002B2A10"/>
    <w:rsid w:val="002B351B"/>
    <w:rsid w:val="002B3DD9"/>
    <w:rsid w:val="002B517B"/>
    <w:rsid w:val="002B6637"/>
    <w:rsid w:val="002B7B8C"/>
    <w:rsid w:val="002C050D"/>
    <w:rsid w:val="002C0A86"/>
    <w:rsid w:val="002C0ECB"/>
    <w:rsid w:val="002C120E"/>
    <w:rsid w:val="002C14AF"/>
    <w:rsid w:val="002C241B"/>
    <w:rsid w:val="002C2484"/>
    <w:rsid w:val="002C2C12"/>
    <w:rsid w:val="002C3A59"/>
    <w:rsid w:val="002C4524"/>
    <w:rsid w:val="002C5ECD"/>
    <w:rsid w:val="002C60EA"/>
    <w:rsid w:val="002C6C95"/>
    <w:rsid w:val="002C7878"/>
    <w:rsid w:val="002C7B94"/>
    <w:rsid w:val="002D0299"/>
    <w:rsid w:val="002D041E"/>
    <w:rsid w:val="002D26E9"/>
    <w:rsid w:val="002D2FAF"/>
    <w:rsid w:val="002D3189"/>
    <w:rsid w:val="002D336A"/>
    <w:rsid w:val="002D58E8"/>
    <w:rsid w:val="002D7FC3"/>
    <w:rsid w:val="002E0010"/>
    <w:rsid w:val="002E0F68"/>
    <w:rsid w:val="002E163D"/>
    <w:rsid w:val="002E26C1"/>
    <w:rsid w:val="002E2D3C"/>
    <w:rsid w:val="002E2EAC"/>
    <w:rsid w:val="002E3C5F"/>
    <w:rsid w:val="002E6106"/>
    <w:rsid w:val="002F069C"/>
    <w:rsid w:val="002F078C"/>
    <w:rsid w:val="002F07E8"/>
    <w:rsid w:val="002F0F4C"/>
    <w:rsid w:val="002F17ED"/>
    <w:rsid w:val="002F19E3"/>
    <w:rsid w:val="002F1B90"/>
    <w:rsid w:val="002F1FB0"/>
    <w:rsid w:val="002F273A"/>
    <w:rsid w:val="002F2D37"/>
    <w:rsid w:val="002F2DFC"/>
    <w:rsid w:val="002F2E6B"/>
    <w:rsid w:val="002F301A"/>
    <w:rsid w:val="002F3B79"/>
    <w:rsid w:val="002F41C0"/>
    <w:rsid w:val="002F4426"/>
    <w:rsid w:val="002F4675"/>
    <w:rsid w:val="002F5AD8"/>
    <w:rsid w:val="002F70BF"/>
    <w:rsid w:val="002F7110"/>
    <w:rsid w:val="002F7685"/>
    <w:rsid w:val="003012EC"/>
    <w:rsid w:val="00302252"/>
    <w:rsid w:val="003026A6"/>
    <w:rsid w:val="00303E49"/>
    <w:rsid w:val="0030474D"/>
    <w:rsid w:val="00304C76"/>
    <w:rsid w:val="00305F12"/>
    <w:rsid w:val="00306523"/>
    <w:rsid w:val="00306DE8"/>
    <w:rsid w:val="00306EC2"/>
    <w:rsid w:val="00307400"/>
    <w:rsid w:val="0030772D"/>
    <w:rsid w:val="00307F58"/>
    <w:rsid w:val="00310826"/>
    <w:rsid w:val="00310DB8"/>
    <w:rsid w:val="00311982"/>
    <w:rsid w:val="00311DC2"/>
    <w:rsid w:val="00312A4B"/>
    <w:rsid w:val="00313C54"/>
    <w:rsid w:val="00314F55"/>
    <w:rsid w:val="0031612D"/>
    <w:rsid w:val="0031637B"/>
    <w:rsid w:val="0031712A"/>
    <w:rsid w:val="00322046"/>
    <w:rsid w:val="003220B7"/>
    <w:rsid w:val="00322F9B"/>
    <w:rsid w:val="00323961"/>
    <w:rsid w:val="003241A8"/>
    <w:rsid w:val="003248C1"/>
    <w:rsid w:val="003257C8"/>
    <w:rsid w:val="00325EA8"/>
    <w:rsid w:val="00326E0A"/>
    <w:rsid w:val="00327F31"/>
    <w:rsid w:val="00330C85"/>
    <w:rsid w:val="0033301D"/>
    <w:rsid w:val="0033371A"/>
    <w:rsid w:val="0033496D"/>
    <w:rsid w:val="003370BA"/>
    <w:rsid w:val="00340FFE"/>
    <w:rsid w:val="003410BA"/>
    <w:rsid w:val="00341106"/>
    <w:rsid w:val="003432B4"/>
    <w:rsid w:val="0034672B"/>
    <w:rsid w:val="003472B2"/>
    <w:rsid w:val="003478D5"/>
    <w:rsid w:val="003507ED"/>
    <w:rsid w:val="00350948"/>
    <w:rsid w:val="00351A86"/>
    <w:rsid w:val="003522CB"/>
    <w:rsid w:val="00352AD6"/>
    <w:rsid w:val="003534BE"/>
    <w:rsid w:val="003549BB"/>
    <w:rsid w:val="003549ED"/>
    <w:rsid w:val="0035558A"/>
    <w:rsid w:val="00356217"/>
    <w:rsid w:val="00357380"/>
    <w:rsid w:val="00357776"/>
    <w:rsid w:val="0036148C"/>
    <w:rsid w:val="003633E1"/>
    <w:rsid w:val="003643DE"/>
    <w:rsid w:val="00364593"/>
    <w:rsid w:val="00364C86"/>
    <w:rsid w:val="00364D7B"/>
    <w:rsid w:val="00365400"/>
    <w:rsid w:val="00365D17"/>
    <w:rsid w:val="00365E32"/>
    <w:rsid w:val="00365F11"/>
    <w:rsid w:val="003675F2"/>
    <w:rsid w:val="00367639"/>
    <w:rsid w:val="0036778C"/>
    <w:rsid w:val="0037016C"/>
    <w:rsid w:val="00370995"/>
    <w:rsid w:val="00374E1B"/>
    <w:rsid w:val="00375F06"/>
    <w:rsid w:val="00377204"/>
    <w:rsid w:val="00377A19"/>
    <w:rsid w:val="00377BEE"/>
    <w:rsid w:val="00380BAB"/>
    <w:rsid w:val="003817EA"/>
    <w:rsid w:val="00384553"/>
    <w:rsid w:val="00384848"/>
    <w:rsid w:val="00384DB1"/>
    <w:rsid w:val="003852C1"/>
    <w:rsid w:val="003865B8"/>
    <w:rsid w:val="0038708B"/>
    <w:rsid w:val="00387E53"/>
    <w:rsid w:val="003901F9"/>
    <w:rsid w:val="003927FD"/>
    <w:rsid w:val="00392C41"/>
    <w:rsid w:val="00392CF3"/>
    <w:rsid w:val="0039309B"/>
    <w:rsid w:val="003963B2"/>
    <w:rsid w:val="003A108E"/>
    <w:rsid w:val="003A221A"/>
    <w:rsid w:val="003A4042"/>
    <w:rsid w:val="003A4887"/>
    <w:rsid w:val="003A5C75"/>
    <w:rsid w:val="003A628D"/>
    <w:rsid w:val="003A6573"/>
    <w:rsid w:val="003A7D96"/>
    <w:rsid w:val="003A7E0A"/>
    <w:rsid w:val="003B04FE"/>
    <w:rsid w:val="003B1440"/>
    <w:rsid w:val="003B167D"/>
    <w:rsid w:val="003B1A81"/>
    <w:rsid w:val="003B2188"/>
    <w:rsid w:val="003B3513"/>
    <w:rsid w:val="003B4095"/>
    <w:rsid w:val="003B4420"/>
    <w:rsid w:val="003B4F42"/>
    <w:rsid w:val="003B707A"/>
    <w:rsid w:val="003C0B1F"/>
    <w:rsid w:val="003C0E36"/>
    <w:rsid w:val="003C1437"/>
    <w:rsid w:val="003C1558"/>
    <w:rsid w:val="003C160F"/>
    <w:rsid w:val="003C37C5"/>
    <w:rsid w:val="003C4CD4"/>
    <w:rsid w:val="003C55F2"/>
    <w:rsid w:val="003C5955"/>
    <w:rsid w:val="003C67BA"/>
    <w:rsid w:val="003C6C47"/>
    <w:rsid w:val="003C7824"/>
    <w:rsid w:val="003C7919"/>
    <w:rsid w:val="003D109C"/>
    <w:rsid w:val="003D1831"/>
    <w:rsid w:val="003D1B68"/>
    <w:rsid w:val="003D3099"/>
    <w:rsid w:val="003D385E"/>
    <w:rsid w:val="003D3DEA"/>
    <w:rsid w:val="003D4EAF"/>
    <w:rsid w:val="003D5A69"/>
    <w:rsid w:val="003D5D66"/>
    <w:rsid w:val="003D6421"/>
    <w:rsid w:val="003D6D32"/>
    <w:rsid w:val="003D7078"/>
    <w:rsid w:val="003E19B5"/>
    <w:rsid w:val="003E3E0D"/>
    <w:rsid w:val="003E4397"/>
    <w:rsid w:val="003E4461"/>
    <w:rsid w:val="003E4501"/>
    <w:rsid w:val="003E4535"/>
    <w:rsid w:val="003E552C"/>
    <w:rsid w:val="003E6409"/>
    <w:rsid w:val="003F00BE"/>
    <w:rsid w:val="003F0DD5"/>
    <w:rsid w:val="003F0ED5"/>
    <w:rsid w:val="003F131C"/>
    <w:rsid w:val="003F242C"/>
    <w:rsid w:val="003F27A8"/>
    <w:rsid w:val="003F2C29"/>
    <w:rsid w:val="003F2FB7"/>
    <w:rsid w:val="003F3FF1"/>
    <w:rsid w:val="003F4B1A"/>
    <w:rsid w:val="003F4C1B"/>
    <w:rsid w:val="003F504C"/>
    <w:rsid w:val="003F508A"/>
    <w:rsid w:val="003F5595"/>
    <w:rsid w:val="003F5F13"/>
    <w:rsid w:val="003F60C3"/>
    <w:rsid w:val="003F60D9"/>
    <w:rsid w:val="003F64C1"/>
    <w:rsid w:val="003F7B85"/>
    <w:rsid w:val="0040123B"/>
    <w:rsid w:val="00402682"/>
    <w:rsid w:val="00402FA0"/>
    <w:rsid w:val="004033E2"/>
    <w:rsid w:val="00404BCF"/>
    <w:rsid w:val="00405D57"/>
    <w:rsid w:val="0040753F"/>
    <w:rsid w:val="0040767E"/>
    <w:rsid w:val="004116CA"/>
    <w:rsid w:val="00411804"/>
    <w:rsid w:val="00412847"/>
    <w:rsid w:val="00414AEC"/>
    <w:rsid w:val="004151B3"/>
    <w:rsid w:val="0041549A"/>
    <w:rsid w:val="00416578"/>
    <w:rsid w:val="0041698A"/>
    <w:rsid w:val="00417AEB"/>
    <w:rsid w:val="0042000A"/>
    <w:rsid w:val="004215F6"/>
    <w:rsid w:val="0042187B"/>
    <w:rsid w:val="00424011"/>
    <w:rsid w:val="0042439C"/>
    <w:rsid w:val="00424A59"/>
    <w:rsid w:val="004256C4"/>
    <w:rsid w:val="00426FB0"/>
    <w:rsid w:val="004274AE"/>
    <w:rsid w:val="00431CB1"/>
    <w:rsid w:val="004326D9"/>
    <w:rsid w:val="004334FF"/>
    <w:rsid w:val="00433AAE"/>
    <w:rsid w:val="00434B24"/>
    <w:rsid w:val="00435B5D"/>
    <w:rsid w:val="004363E2"/>
    <w:rsid w:val="00441E99"/>
    <w:rsid w:val="004437CF"/>
    <w:rsid w:val="00445559"/>
    <w:rsid w:val="0044690F"/>
    <w:rsid w:val="004472D6"/>
    <w:rsid w:val="00450D7F"/>
    <w:rsid w:val="0045219B"/>
    <w:rsid w:val="0045277B"/>
    <w:rsid w:val="00452B81"/>
    <w:rsid w:val="00455657"/>
    <w:rsid w:val="00456910"/>
    <w:rsid w:val="00456BAF"/>
    <w:rsid w:val="00460BE6"/>
    <w:rsid w:val="004631AA"/>
    <w:rsid w:val="004648D3"/>
    <w:rsid w:val="004657E3"/>
    <w:rsid w:val="00466249"/>
    <w:rsid w:val="00466865"/>
    <w:rsid w:val="00467C05"/>
    <w:rsid w:val="0047077B"/>
    <w:rsid w:val="00470F7A"/>
    <w:rsid w:val="00472533"/>
    <w:rsid w:val="00476912"/>
    <w:rsid w:val="004777A7"/>
    <w:rsid w:val="00480615"/>
    <w:rsid w:val="0048073B"/>
    <w:rsid w:val="0048109E"/>
    <w:rsid w:val="004826B0"/>
    <w:rsid w:val="00482932"/>
    <w:rsid w:val="004840EC"/>
    <w:rsid w:val="0048493E"/>
    <w:rsid w:val="00485E27"/>
    <w:rsid w:val="004860AC"/>
    <w:rsid w:val="0048697C"/>
    <w:rsid w:val="00490D8D"/>
    <w:rsid w:val="00491119"/>
    <w:rsid w:val="00491705"/>
    <w:rsid w:val="00494511"/>
    <w:rsid w:val="00494E33"/>
    <w:rsid w:val="0049526B"/>
    <w:rsid w:val="00496936"/>
    <w:rsid w:val="00497DC2"/>
    <w:rsid w:val="004A040F"/>
    <w:rsid w:val="004A2057"/>
    <w:rsid w:val="004A22C1"/>
    <w:rsid w:val="004A4CDF"/>
    <w:rsid w:val="004A603E"/>
    <w:rsid w:val="004A62C2"/>
    <w:rsid w:val="004A6F36"/>
    <w:rsid w:val="004A72FE"/>
    <w:rsid w:val="004A7E3B"/>
    <w:rsid w:val="004B2745"/>
    <w:rsid w:val="004B3F30"/>
    <w:rsid w:val="004B4C07"/>
    <w:rsid w:val="004B6C07"/>
    <w:rsid w:val="004C07BC"/>
    <w:rsid w:val="004C1788"/>
    <w:rsid w:val="004C1838"/>
    <w:rsid w:val="004C1879"/>
    <w:rsid w:val="004C1B3C"/>
    <w:rsid w:val="004C2427"/>
    <w:rsid w:val="004C3962"/>
    <w:rsid w:val="004C44B6"/>
    <w:rsid w:val="004C45F6"/>
    <w:rsid w:val="004C64AA"/>
    <w:rsid w:val="004C7800"/>
    <w:rsid w:val="004C78BB"/>
    <w:rsid w:val="004D0234"/>
    <w:rsid w:val="004D07C8"/>
    <w:rsid w:val="004D0A20"/>
    <w:rsid w:val="004D158D"/>
    <w:rsid w:val="004D1AF9"/>
    <w:rsid w:val="004D3448"/>
    <w:rsid w:val="004D407F"/>
    <w:rsid w:val="004D6D1E"/>
    <w:rsid w:val="004E2419"/>
    <w:rsid w:val="004E3F35"/>
    <w:rsid w:val="004E4D5F"/>
    <w:rsid w:val="004E4F20"/>
    <w:rsid w:val="004E55EF"/>
    <w:rsid w:val="004E5CDA"/>
    <w:rsid w:val="004E5D5E"/>
    <w:rsid w:val="004E5ED9"/>
    <w:rsid w:val="004E7399"/>
    <w:rsid w:val="004F03C8"/>
    <w:rsid w:val="004F046F"/>
    <w:rsid w:val="004F053D"/>
    <w:rsid w:val="004F0893"/>
    <w:rsid w:val="004F0FA5"/>
    <w:rsid w:val="004F1218"/>
    <w:rsid w:val="004F13D0"/>
    <w:rsid w:val="004F31D1"/>
    <w:rsid w:val="004F3981"/>
    <w:rsid w:val="004F42BD"/>
    <w:rsid w:val="004F4EC0"/>
    <w:rsid w:val="004F5FE6"/>
    <w:rsid w:val="004F67D8"/>
    <w:rsid w:val="00500520"/>
    <w:rsid w:val="0050137A"/>
    <w:rsid w:val="005018A6"/>
    <w:rsid w:val="00501EC4"/>
    <w:rsid w:val="00501F30"/>
    <w:rsid w:val="00502597"/>
    <w:rsid w:val="00502D61"/>
    <w:rsid w:val="00503AC9"/>
    <w:rsid w:val="005041E3"/>
    <w:rsid w:val="005044A5"/>
    <w:rsid w:val="00504D56"/>
    <w:rsid w:val="00505975"/>
    <w:rsid w:val="00506396"/>
    <w:rsid w:val="005069AF"/>
    <w:rsid w:val="005071FE"/>
    <w:rsid w:val="005074B8"/>
    <w:rsid w:val="00510644"/>
    <w:rsid w:val="00511CEF"/>
    <w:rsid w:val="00513C59"/>
    <w:rsid w:val="00513F88"/>
    <w:rsid w:val="00514B18"/>
    <w:rsid w:val="00514C0B"/>
    <w:rsid w:val="00514D55"/>
    <w:rsid w:val="0051643D"/>
    <w:rsid w:val="005171DA"/>
    <w:rsid w:val="0052011A"/>
    <w:rsid w:val="005218AC"/>
    <w:rsid w:val="00521B38"/>
    <w:rsid w:val="005223A9"/>
    <w:rsid w:val="005223F2"/>
    <w:rsid w:val="00522710"/>
    <w:rsid w:val="00523237"/>
    <w:rsid w:val="005232D2"/>
    <w:rsid w:val="00523562"/>
    <w:rsid w:val="00524232"/>
    <w:rsid w:val="005253C7"/>
    <w:rsid w:val="005254D7"/>
    <w:rsid w:val="00525CC8"/>
    <w:rsid w:val="00525EF8"/>
    <w:rsid w:val="00526EBF"/>
    <w:rsid w:val="00527221"/>
    <w:rsid w:val="0052796D"/>
    <w:rsid w:val="00527C4A"/>
    <w:rsid w:val="005307F0"/>
    <w:rsid w:val="00530DC2"/>
    <w:rsid w:val="00531166"/>
    <w:rsid w:val="005322AB"/>
    <w:rsid w:val="0053270C"/>
    <w:rsid w:val="00532CF0"/>
    <w:rsid w:val="005358B2"/>
    <w:rsid w:val="00535923"/>
    <w:rsid w:val="00540B85"/>
    <w:rsid w:val="005410B8"/>
    <w:rsid w:val="005412FE"/>
    <w:rsid w:val="005414C4"/>
    <w:rsid w:val="005447FE"/>
    <w:rsid w:val="0054491F"/>
    <w:rsid w:val="005452B8"/>
    <w:rsid w:val="00546306"/>
    <w:rsid w:val="005463A8"/>
    <w:rsid w:val="005467CF"/>
    <w:rsid w:val="00546CE1"/>
    <w:rsid w:val="0054726F"/>
    <w:rsid w:val="005473A0"/>
    <w:rsid w:val="00550561"/>
    <w:rsid w:val="00550FA3"/>
    <w:rsid w:val="00551AE9"/>
    <w:rsid w:val="00552DF3"/>
    <w:rsid w:val="00553A6A"/>
    <w:rsid w:val="0055436A"/>
    <w:rsid w:val="005549B4"/>
    <w:rsid w:val="00554FA9"/>
    <w:rsid w:val="0056114B"/>
    <w:rsid w:val="00562A9D"/>
    <w:rsid w:val="00563BB0"/>
    <w:rsid w:val="0056440A"/>
    <w:rsid w:val="005655A9"/>
    <w:rsid w:val="00566DFE"/>
    <w:rsid w:val="00567AF2"/>
    <w:rsid w:val="0057076E"/>
    <w:rsid w:val="00570793"/>
    <w:rsid w:val="00571A5B"/>
    <w:rsid w:val="00571EE4"/>
    <w:rsid w:val="00571FF2"/>
    <w:rsid w:val="00573693"/>
    <w:rsid w:val="005740AF"/>
    <w:rsid w:val="00575313"/>
    <w:rsid w:val="005753C8"/>
    <w:rsid w:val="00576F73"/>
    <w:rsid w:val="00577E05"/>
    <w:rsid w:val="0058166D"/>
    <w:rsid w:val="00582151"/>
    <w:rsid w:val="00582213"/>
    <w:rsid w:val="00582F3A"/>
    <w:rsid w:val="005843DB"/>
    <w:rsid w:val="005856C1"/>
    <w:rsid w:val="0058653B"/>
    <w:rsid w:val="00587653"/>
    <w:rsid w:val="00592CA9"/>
    <w:rsid w:val="00594C10"/>
    <w:rsid w:val="0059504D"/>
    <w:rsid w:val="005952A3"/>
    <w:rsid w:val="00596B3B"/>
    <w:rsid w:val="0059793A"/>
    <w:rsid w:val="00597EAA"/>
    <w:rsid w:val="005A0D83"/>
    <w:rsid w:val="005A144A"/>
    <w:rsid w:val="005A18A2"/>
    <w:rsid w:val="005A24B2"/>
    <w:rsid w:val="005A36E5"/>
    <w:rsid w:val="005A4F59"/>
    <w:rsid w:val="005A54E6"/>
    <w:rsid w:val="005A62C0"/>
    <w:rsid w:val="005A76D5"/>
    <w:rsid w:val="005A78FB"/>
    <w:rsid w:val="005B0366"/>
    <w:rsid w:val="005B1814"/>
    <w:rsid w:val="005B1CEC"/>
    <w:rsid w:val="005B3C84"/>
    <w:rsid w:val="005B4603"/>
    <w:rsid w:val="005B4ECD"/>
    <w:rsid w:val="005B515F"/>
    <w:rsid w:val="005B5460"/>
    <w:rsid w:val="005B57A8"/>
    <w:rsid w:val="005B59F9"/>
    <w:rsid w:val="005B7AE6"/>
    <w:rsid w:val="005C1422"/>
    <w:rsid w:val="005C2203"/>
    <w:rsid w:val="005C282F"/>
    <w:rsid w:val="005C35AD"/>
    <w:rsid w:val="005C3E2C"/>
    <w:rsid w:val="005C5140"/>
    <w:rsid w:val="005C538D"/>
    <w:rsid w:val="005C7724"/>
    <w:rsid w:val="005D0354"/>
    <w:rsid w:val="005D0A13"/>
    <w:rsid w:val="005D0F6D"/>
    <w:rsid w:val="005D1B60"/>
    <w:rsid w:val="005D1CDC"/>
    <w:rsid w:val="005D3537"/>
    <w:rsid w:val="005D3BD4"/>
    <w:rsid w:val="005D46EB"/>
    <w:rsid w:val="005D4DD8"/>
    <w:rsid w:val="005D527C"/>
    <w:rsid w:val="005D5D61"/>
    <w:rsid w:val="005D680C"/>
    <w:rsid w:val="005D68F0"/>
    <w:rsid w:val="005E0C10"/>
    <w:rsid w:val="005E126D"/>
    <w:rsid w:val="005E2489"/>
    <w:rsid w:val="005E24AD"/>
    <w:rsid w:val="005E3621"/>
    <w:rsid w:val="005E4AED"/>
    <w:rsid w:val="005E4C48"/>
    <w:rsid w:val="005E51A7"/>
    <w:rsid w:val="005E5B8A"/>
    <w:rsid w:val="005E6E70"/>
    <w:rsid w:val="005F129C"/>
    <w:rsid w:val="005F1954"/>
    <w:rsid w:val="005F1971"/>
    <w:rsid w:val="005F1A5A"/>
    <w:rsid w:val="005F1FC9"/>
    <w:rsid w:val="005F2CB7"/>
    <w:rsid w:val="005F386A"/>
    <w:rsid w:val="005F4F76"/>
    <w:rsid w:val="005F5A4F"/>
    <w:rsid w:val="005F72A1"/>
    <w:rsid w:val="00600573"/>
    <w:rsid w:val="00601390"/>
    <w:rsid w:val="0060152C"/>
    <w:rsid w:val="00601E83"/>
    <w:rsid w:val="00601EEC"/>
    <w:rsid w:val="00601F9A"/>
    <w:rsid w:val="006021AA"/>
    <w:rsid w:val="00602BB5"/>
    <w:rsid w:val="00603936"/>
    <w:rsid w:val="0060579B"/>
    <w:rsid w:val="00607728"/>
    <w:rsid w:val="00610EA1"/>
    <w:rsid w:val="00611075"/>
    <w:rsid w:val="0061121C"/>
    <w:rsid w:val="00611837"/>
    <w:rsid w:val="006123A8"/>
    <w:rsid w:val="00612750"/>
    <w:rsid w:val="006127E1"/>
    <w:rsid w:val="00613FD0"/>
    <w:rsid w:val="00615862"/>
    <w:rsid w:val="006163FE"/>
    <w:rsid w:val="006171F7"/>
    <w:rsid w:val="0062151E"/>
    <w:rsid w:val="006221A0"/>
    <w:rsid w:val="00622AC2"/>
    <w:rsid w:val="00622E63"/>
    <w:rsid w:val="00623497"/>
    <w:rsid w:val="006234B3"/>
    <w:rsid w:val="006249F0"/>
    <w:rsid w:val="00624F83"/>
    <w:rsid w:val="00624FE2"/>
    <w:rsid w:val="00625625"/>
    <w:rsid w:val="0062570C"/>
    <w:rsid w:val="00626A93"/>
    <w:rsid w:val="00627DDA"/>
    <w:rsid w:val="0063188F"/>
    <w:rsid w:val="00632244"/>
    <w:rsid w:val="00632B7A"/>
    <w:rsid w:val="00632C28"/>
    <w:rsid w:val="00633692"/>
    <w:rsid w:val="00633E8B"/>
    <w:rsid w:val="00635776"/>
    <w:rsid w:val="006363E9"/>
    <w:rsid w:val="0063643F"/>
    <w:rsid w:val="00636ABB"/>
    <w:rsid w:val="00640182"/>
    <w:rsid w:val="00640F8F"/>
    <w:rsid w:val="00641936"/>
    <w:rsid w:val="006427B3"/>
    <w:rsid w:val="00643EDE"/>
    <w:rsid w:val="00647415"/>
    <w:rsid w:val="00647CCB"/>
    <w:rsid w:val="0065037C"/>
    <w:rsid w:val="006528DD"/>
    <w:rsid w:val="00652F16"/>
    <w:rsid w:val="006534D4"/>
    <w:rsid w:val="00655CC8"/>
    <w:rsid w:val="00655D35"/>
    <w:rsid w:val="00655D4B"/>
    <w:rsid w:val="0065609C"/>
    <w:rsid w:val="0065624A"/>
    <w:rsid w:val="00656521"/>
    <w:rsid w:val="00656E25"/>
    <w:rsid w:val="00657C8A"/>
    <w:rsid w:val="006606F2"/>
    <w:rsid w:val="006610C8"/>
    <w:rsid w:val="006613D1"/>
    <w:rsid w:val="00661447"/>
    <w:rsid w:val="00663102"/>
    <w:rsid w:val="00663E4A"/>
    <w:rsid w:val="00666D9A"/>
    <w:rsid w:val="00667F85"/>
    <w:rsid w:val="006702E2"/>
    <w:rsid w:val="00673663"/>
    <w:rsid w:val="00674C8E"/>
    <w:rsid w:val="0067540E"/>
    <w:rsid w:val="00676613"/>
    <w:rsid w:val="006769A7"/>
    <w:rsid w:val="0068090E"/>
    <w:rsid w:val="0068149E"/>
    <w:rsid w:val="00682A2B"/>
    <w:rsid w:val="00683C5B"/>
    <w:rsid w:val="00683DC8"/>
    <w:rsid w:val="0068432B"/>
    <w:rsid w:val="00684DAD"/>
    <w:rsid w:val="00685699"/>
    <w:rsid w:val="00686CB3"/>
    <w:rsid w:val="006872DC"/>
    <w:rsid w:val="00690435"/>
    <w:rsid w:val="00691909"/>
    <w:rsid w:val="0069229E"/>
    <w:rsid w:val="00693280"/>
    <w:rsid w:val="006936CD"/>
    <w:rsid w:val="00695668"/>
    <w:rsid w:val="00696449"/>
    <w:rsid w:val="00696921"/>
    <w:rsid w:val="00696B09"/>
    <w:rsid w:val="00697054"/>
    <w:rsid w:val="006977E8"/>
    <w:rsid w:val="006A0766"/>
    <w:rsid w:val="006A1692"/>
    <w:rsid w:val="006A2442"/>
    <w:rsid w:val="006A2EF2"/>
    <w:rsid w:val="006A2F94"/>
    <w:rsid w:val="006A4860"/>
    <w:rsid w:val="006A4B02"/>
    <w:rsid w:val="006A4EA8"/>
    <w:rsid w:val="006A4FAE"/>
    <w:rsid w:val="006A5ADF"/>
    <w:rsid w:val="006A5BB6"/>
    <w:rsid w:val="006A6093"/>
    <w:rsid w:val="006A6CDD"/>
    <w:rsid w:val="006A796F"/>
    <w:rsid w:val="006A7FDA"/>
    <w:rsid w:val="006B206E"/>
    <w:rsid w:val="006B2290"/>
    <w:rsid w:val="006B2912"/>
    <w:rsid w:val="006B2BC0"/>
    <w:rsid w:val="006B3E49"/>
    <w:rsid w:val="006B45C3"/>
    <w:rsid w:val="006B55B4"/>
    <w:rsid w:val="006B7512"/>
    <w:rsid w:val="006B7A6E"/>
    <w:rsid w:val="006C01B8"/>
    <w:rsid w:val="006C172B"/>
    <w:rsid w:val="006C3FD2"/>
    <w:rsid w:val="006C4376"/>
    <w:rsid w:val="006C43A3"/>
    <w:rsid w:val="006C4721"/>
    <w:rsid w:val="006C52F8"/>
    <w:rsid w:val="006C535D"/>
    <w:rsid w:val="006C63FF"/>
    <w:rsid w:val="006C673F"/>
    <w:rsid w:val="006C7360"/>
    <w:rsid w:val="006C7EA0"/>
    <w:rsid w:val="006D0023"/>
    <w:rsid w:val="006D243A"/>
    <w:rsid w:val="006D29A4"/>
    <w:rsid w:val="006D48AB"/>
    <w:rsid w:val="006D5690"/>
    <w:rsid w:val="006D5CD5"/>
    <w:rsid w:val="006D5DCA"/>
    <w:rsid w:val="006D6DDE"/>
    <w:rsid w:val="006D6F3A"/>
    <w:rsid w:val="006D7441"/>
    <w:rsid w:val="006D7CC8"/>
    <w:rsid w:val="006E0C44"/>
    <w:rsid w:val="006E0E99"/>
    <w:rsid w:val="006E11F7"/>
    <w:rsid w:val="006E249F"/>
    <w:rsid w:val="006E257F"/>
    <w:rsid w:val="006E4393"/>
    <w:rsid w:val="006E509F"/>
    <w:rsid w:val="006E559D"/>
    <w:rsid w:val="006E5F51"/>
    <w:rsid w:val="006E6D34"/>
    <w:rsid w:val="006F1671"/>
    <w:rsid w:val="006F2971"/>
    <w:rsid w:val="006F2FA1"/>
    <w:rsid w:val="006F30C3"/>
    <w:rsid w:val="006F3176"/>
    <w:rsid w:val="006F3C8A"/>
    <w:rsid w:val="006F4440"/>
    <w:rsid w:val="006F47A0"/>
    <w:rsid w:val="006F4FB8"/>
    <w:rsid w:val="006F50FC"/>
    <w:rsid w:val="006F510A"/>
    <w:rsid w:val="006F5FA3"/>
    <w:rsid w:val="006F6835"/>
    <w:rsid w:val="006F6AE1"/>
    <w:rsid w:val="006F73E6"/>
    <w:rsid w:val="006F7B77"/>
    <w:rsid w:val="00701228"/>
    <w:rsid w:val="00701AD5"/>
    <w:rsid w:val="00701DE9"/>
    <w:rsid w:val="0070327A"/>
    <w:rsid w:val="00703A6F"/>
    <w:rsid w:val="00703E84"/>
    <w:rsid w:val="00704335"/>
    <w:rsid w:val="00704A98"/>
    <w:rsid w:val="00705D52"/>
    <w:rsid w:val="00705F9D"/>
    <w:rsid w:val="007060A1"/>
    <w:rsid w:val="007078B7"/>
    <w:rsid w:val="00710BB8"/>
    <w:rsid w:val="00712357"/>
    <w:rsid w:val="0071270C"/>
    <w:rsid w:val="00712AD3"/>
    <w:rsid w:val="00713A20"/>
    <w:rsid w:val="007166CC"/>
    <w:rsid w:val="00716D9B"/>
    <w:rsid w:val="00717C2B"/>
    <w:rsid w:val="00717F18"/>
    <w:rsid w:val="00720142"/>
    <w:rsid w:val="00720A65"/>
    <w:rsid w:val="00721BDE"/>
    <w:rsid w:val="00721CAE"/>
    <w:rsid w:val="00722966"/>
    <w:rsid w:val="00722D10"/>
    <w:rsid w:val="00722FA3"/>
    <w:rsid w:val="00724EA5"/>
    <w:rsid w:val="00725112"/>
    <w:rsid w:val="00725449"/>
    <w:rsid w:val="00725D8F"/>
    <w:rsid w:val="00726600"/>
    <w:rsid w:val="00727CA7"/>
    <w:rsid w:val="00730791"/>
    <w:rsid w:val="00730E9A"/>
    <w:rsid w:val="007326FF"/>
    <w:rsid w:val="007330F5"/>
    <w:rsid w:val="00734BDB"/>
    <w:rsid w:val="007379A4"/>
    <w:rsid w:val="00737CD9"/>
    <w:rsid w:val="007445DE"/>
    <w:rsid w:val="0074603A"/>
    <w:rsid w:val="007467D5"/>
    <w:rsid w:val="00751D86"/>
    <w:rsid w:val="0075270E"/>
    <w:rsid w:val="00752980"/>
    <w:rsid w:val="00752E3A"/>
    <w:rsid w:val="00753242"/>
    <w:rsid w:val="00753AFA"/>
    <w:rsid w:val="00753C6D"/>
    <w:rsid w:val="00753D99"/>
    <w:rsid w:val="00753E9F"/>
    <w:rsid w:val="007542DB"/>
    <w:rsid w:val="007552B9"/>
    <w:rsid w:val="00755718"/>
    <w:rsid w:val="00755748"/>
    <w:rsid w:val="00755C3F"/>
    <w:rsid w:val="00757AAA"/>
    <w:rsid w:val="00760778"/>
    <w:rsid w:val="00760A85"/>
    <w:rsid w:val="00761234"/>
    <w:rsid w:val="00761574"/>
    <w:rsid w:val="0076375E"/>
    <w:rsid w:val="00763A51"/>
    <w:rsid w:val="00764BFA"/>
    <w:rsid w:val="0076526D"/>
    <w:rsid w:val="00766AD4"/>
    <w:rsid w:val="00767198"/>
    <w:rsid w:val="00771400"/>
    <w:rsid w:val="00772F0A"/>
    <w:rsid w:val="00773038"/>
    <w:rsid w:val="007733BC"/>
    <w:rsid w:val="00773F5E"/>
    <w:rsid w:val="00775885"/>
    <w:rsid w:val="00777E12"/>
    <w:rsid w:val="00780A8C"/>
    <w:rsid w:val="00780FA1"/>
    <w:rsid w:val="00782746"/>
    <w:rsid w:val="007850CB"/>
    <w:rsid w:val="007858E7"/>
    <w:rsid w:val="00787022"/>
    <w:rsid w:val="00787088"/>
    <w:rsid w:val="00790092"/>
    <w:rsid w:val="007904EE"/>
    <w:rsid w:val="0079094D"/>
    <w:rsid w:val="00790C62"/>
    <w:rsid w:val="0079125D"/>
    <w:rsid w:val="007924DC"/>
    <w:rsid w:val="00793925"/>
    <w:rsid w:val="00793AFA"/>
    <w:rsid w:val="0079450F"/>
    <w:rsid w:val="007A0170"/>
    <w:rsid w:val="007A09B0"/>
    <w:rsid w:val="007A09C9"/>
    <w:rsid w:val="007A1496"/>
    <w:rsid w:val="007A1F06"/>
    <w:rsid w:val="007A2EE9"/>
    <w:rsid w:val="007A4262"/>
    <w:rsid w:val="007A4E16"/>
    <w:rsid w:val="007A6734"/>
    <w:rsid w:val="007A6B45"/>
    <w:rsid w:val="007A72DC"/>
    <w:rsid w:val="007A740B"/>
    <w:rsid w:val="007B264B"/>
    <w:rsid w:val="007B2BAD"/>
    <w:rsid w:val="007B2EAB"/>
    <w:rsid w:val="007B53F5"/>
    <w:rsid w:val="007B55B5"/>
    <w:rsid w:val="007B7C97"/>
    <w:rsid w:val="007C0276"/>
    <w:rsid w:val="007C1612"/>
    <w:rsid w:val="007C2462"/>
    <w:rsid w:val="007C257E"/>
    <w:rsid w:val="007C4A4A"/>
    <w:rsid w:val="007C4D57"/>
    <w:rsid w:val="007C4EA8"/>
    <w:rsid w:val="007C7111"/>
    <w:rsid w:val="007D0710"/>
    <w:rsid w:val="007D0811"/>
    <w:rsid w:val="007D081A"/>
    <w:rsid w:val="007D1482"/>
    <w:rsid w:val="007D16E9"/>
    <w:rsid w:val="007D3879"/>
    <w:rsid w:val="007D66A9"/>
    <w:rsid w:val="007D7FA5"/>
    <w:rsid w:val="007E15B8"/>
    <w:rsid w:val="007E395E"/>
    <w:rsid w:val="007E540E"/>
    <w:rsid w:val="007E5558"/>
    <w:rsid w:val="007F0F20"/>
    <w:rsid w:val="007F10F7"/>
    <w:rsid w:val="007F3384"/>
    <w:rsid w:val="007F4790"/>
    <w:rsid w:val="007F7950"/>
    <w:rsid w:val="008001F2"/>
    <w:rsid w:val="0080072B"/>
    <w:rsid w:val="0080075B"/>
    <w:rsid w:val="0080079A"/>
    <w:rsid w:val="00802360"/>
    <w:rsid w:val="00802D00"/>
    <w:rsid w:val="00802E3F"/>
    <w:rsid w:val="00804B3C"/>
    <w:rsid w:val="00804F9F"/>
    <w:rsid w:val="00805646"/>
    <w:rsid w:val="00805A3F"/>
    <w:rsid w:val="008060AF"/>
    <w:rsid w:val="008069CA"/>
    <w:rsid w:val="00807C3C"/>
    <w:rsid w:val="008103C1"/>
    <w:rsid w:val="008105F9"/>
    <w:rsid w:val="0081117A"/>
    <w:rsid w:val="00811F69"/>
    <w:rsid w:val="0081381A"/>
    <w:rsid w:val="00813F8A"/>
    <w:rsid w:val="00814C08"/>
    <w:rsid w:val="0081519D"/>
    <w:rsid w:val="0081555E"/>
    <w:rsid w:val="008164E5"/>
    <w:rsid w:val="0081654B"/>
    <w:rsid w:val="008200B8"/>
    <w:rsid w:val="008214F6"/>
    <w:rsid w:val="008229ED"/>
    <w:rsid w:val="00822EE8"/>
    <w:rsid w:val="0082301E"/>
    <w:rsid w:val="008231F0"/>
    <w:rsid w:val="00823475"/>
    <w:rsid w:val="008242CD"/>
    <w:rsid w:val="0082469B"/>
    <w:rsid w:val="00824BAD"/>
    <w:rsid w:val="00825F9C"/>
    <w:rsid w:val="0082772A"/>
    <w:rsid w:val="00827A0A"/>
    <w:rsid w:val="00827CC5"/>
    <w:rsid w:val="00827F53"/>
    <w:rsid w:val="00830125"/>
    <w:rsid w:val="00831485"/>
    <w:rsid w:val="0083448A"/>
    <w:rsid w:val="008379C0"/>
    <w:rsid w:val="00840BA3"/>
    <w:rsid w:val="00843B68"/>
    <w:rsid w:val="00844D0C"/>
    <w:rsid w:val="00844FBD"/>
    <w:rsid w:val="00845CBB"/>
    <w:rsid w:val="00845E33"/>
    <w:rsid w:val="0084607F"/>
    <w:rsid w:val="008461E8"/>
    <w:rsid w:val="00846C1F"/>
    <w:rsid w:val="00846EE8"/>
    <w:rsid w:val="0084729E"/>
    <w:rsid w:val="008472FD"/>
    <w:rsid w:val="00847FF6"/>
    <w:rsid w:val="0085165A"/>
    <w:rsid w:val="00851A6C"/>
    <w:rsid w:val="00851E87"/>
    <w:rsid w:val="00852575"/>
    <w:rsid w:val="00852D94"/>
    <w:rsid w:val="00852E9F"/>
    <w:rsid w:val="008551AE"/>
    <w:rsid w:val="00855767"/>
    <w:rsid w:val="0085588B"/>
    <w:rsid w:val="00856299"/>
    <w:rsid w:val="00857821"/>
    <w:rsid w:val="00860290"/>
    <w:rsid w:val="00864BFD"/>
    <w:rsid w:val="0086530F"/>
    <w:rsid w:val="00865643"/>
    <w:rsid w:val="0086597A"/>
    <w:rsid w:val="00865DE3"/>
    <w:rsid w:val="0086659E"/>
    <w:rsid w:val="0086688B"/>
    <w:rsid w:val="00867524"/>
    <w:rsid w:val="00867939"/>
    <w:rsid w:val="00873797"/>
    <w:rsid w:val="008738FB"/>
    <w:rsid w:val="00874F6D"/>
    <w:rsid w:val="00875311"/>
    <w:rsid w:val="00875F18"/>
    <w:rsid w:val="0087607E"/>
    <w:rsid w:val="008770CC"/>
    <w:rsid w:val="00877529"/>
    <w:rsid w:val="00880BD0"/>
    <w:rsid w:val="00880D97"/>
    <w:rsid w:val="00880F63"/>
    <w:rsid w:val="00881664"/>
    <w:rsid w:val="00881E78"/>
    <w:rsid w:val="00882BF1"/>
    <w:rsid w:val="00882F3E"/>
    <w:rsid w:val="00883513"/>
    <w:rsid w:val="00884846"/>
    <w:rsid w:val="008850A5"/>
    <w:rsid w:val="00885985"/>
    <w:rsid w:val="0088598D"/>
    <w:rsid w:val="0088602B"/>
    <w:rsid w:val="00886243"/>
    <w:rsid w:val="00890913"/>
    <w:rsid w:val="008913C5"/>
    <w:rsid w:val="00893A9C"/>
    <w:rsid w:val="008977F1"/>
    <w:rsid w:val="00897FCE"/>
    <w:rsid w:val="008A0B9B"/>
    <w:rsid w:val="008A0E25"/>
    <w:rsid w:val="008A266D"/>
    <w:rsid w:val="008A2AE7"/>
    <w:rsid w:val="008A2D57"/>
    <w:rsid w:val="008A3119"/>
    <w:rsid w:val="008A3784"/>
    <w:rsid w:val="008A3899"/>
    <w:rsid w:val="008A3A08"/>
    <w:rsid w:val="008A3C54"/>
    <w:rsid w:val="008A3E20"/>
    <w:rsid w:val="008A5C66"/>
    <w:rsid w:val="008A609D"/>
    <w:rsid w:val="008A69E0"/>
    <w:rsid w:val="008A7000"/>
    <w:rsid w:val="008A7D98"/>
    <w:rsid w:val="008B1265"/>
    <w:rsid w:val="008B1BF2"/>
    <w:rsid w:val="008B26C7"/>
    <w:rsid w:val="008B3282"/>
    <w:rsid w:val="008B3BA8"/>
    <w:rsid w:val="008B3BD6"/>
    <w:rsid w:val="008B4513"/>
    <w:rsid w:val="008B49D2"/>
    <w:rsid w:val="008B4DBA"/>
    <w:rsid w:val="008B5845"/>
    <w:rsid w:val="008B5A2A"/>
    <w:rsid w:val="008B5C68"/>
    <w:rsid w:val="008B66AC"/>
    <w:rsid w:val="008B6750"/>
    <w:rsid w:val="008B7AE9"/>
    <w:rsid w:val="008C06FC"/>
    <w:rsid w:val="008C0E21"/>
    <w:rsid w:val="008C0F9D"/>
    <w:rsid w:val="008C2029"/>
    <w:rsid w:val="008C26C2"/>
    <w:rsid w:val="008C3803"/>
    <w:rsid w:val="008C4524"/>
    <w:rsid w:val="008C508D"/>
    <w:rsid w:val="008C5B61"/>
    <w:rsid w:val="008C6723"/>
    <w:rsid w:val="008C6776"/>
    <w:rsid w:val="008C6894"/>
    <w:rsid w:val="008C6AB9"/>
    <w:rsid w:val="008C6B05"/>
    <w:rsid w:val="008C78F4"/>
    <w:rsid w:val="008D0B92"/>
    <w:rsid w:val="008D0E02"/>
    <w:rsid w:val="008D1D05"/>
    <w:rsid w:val="008D2090"/>
    <w:rsid w:val="008D38CA"/>
    <w:rsid w:val="008D4B3E"/>
    <w:rsid w:val="008D545A"/>
    <w:rsid w:val="008D5ABD"/>
    <w:rsid w:val="008D6D33"/>
    <w:rsid w:val="008D7E72"/>
    <w:rsid w:val="008E1A9C"/>
    <w:rsid w:val="008E1F01"/>
    <w:rsid w:val="008E21E2"/>
    <w:rsid w:val="008E47F1"/>
    <w:rsid w:val="008E4D3A"/>
    <w:rsid w:val="008E526F"/>
    <w:rsid w:val="008E58BD"/>
    <w:rsid w:val="008E5FA3"/>
    <w:rsid w:val="008E5FC2"/>
    <w:rsid w:val="008E7007"/>
    <w:rsid w:val="008E7774"/>
    <w:rsid w:val="008E7878"/>
    <w:rsid w:val="008E7E83"/>
    <w:rsid w:val="008F0161"/>
    <w:rsid w:val="008F027B"/>
    <w:rsid w:val="008F0D90"/>
    <w:rsid w:val="008F1CD4"/>
    <w:rsid w:val="008F20C8"/>
    <w:rsid w:val="008F2355"/>
    <w:rsid w:val="008F273A"/>
    <w:rsid w:val="008F2EDC"/>
    <w:rsid w:val="008F43E9"/>
    <w:rsid w:val="008F4536"/>
    <w:rsid w:val="008F49E2"/>
    <w:rsid w:val="008F4AE3"/>
    <w:rsid w:val="008F606A"/>
    <w:rsid w:val="008F6677"/>
    <w:rsid w:val="008F72C5"/>
    <w:rsid w:val="009009F0"/>
    <w:rsid w:val="00900F68"/>
    <w:rsid w:val="009014F8"/>
    <w:rsid w:val="0090279C"/>
    <w:rsid w:val="00902F2E"/>
    <w:rsid w:val="00903D41"/>
    <w:rsid w:val="009043A6"/>
    <w:rsid w:val="00904919"/>
    <w:rsid w:val="00905AE4"/>
    <w:rsid w:val="00906246"/>
    <w:rsid w:val="00906520"/>
    <w:rsid w:val="00906768"/>
    <w:rsid w:val="0090694D"/>
    <w:rsid w:val="0091062C"/>
    <w:rsid w:val="0091063F"/>
    <w:rsid w:val="009107B6"/>
    <w:rsid w:val="00910DB6"/>
    <w:rsid w:val="00911F6D"/>
    <w:rsid w:val="00913257"/>
    <w:rsid w:val="0091335D"/>
    <w:rsid w:val="009144A0"/>
    <w:rsid w:val="00914AF2"/>
    <w:rsid w:val="00915E1F"/>
    <w:rsid w:val="009162E9"/>
    <w:rsid w:val="00920B22"/>
    <w:rsid w:val="00921005"/>
    <w:rsid w:val="00922427"/>
    <w:rsid w:val="00922764"/>
    <w:rsid w:val="009227CB"/>
    <w:rsid w:val="009262FD"/>
    <w:rsid w:val="00926E7B"/>
    <w:rsid w:val="00930CC8"/>
    <w:rsid w:val="009317A4"/>
    <w:rsid w:val="0093327B"/>
    <w:rsid w:val="009339AA"/>
    <w:rsid w:val="00933A8B"/>
    <w:rsid w:val="00933C49"/>
    <w:rsid w:val="00934589"/>
    <w:rsid w:val="00935D93"/>
    <w:rsid w:val="0093656D"/>
    <w:rsid w:val="0093703A"/>
    <w:rsid w:val="009412FE"/>
    <w:rsid w:val="009417AC"/>
    <w:rsid w:val="00941D00"/>
    <w:rsid w:val="0094200E"/>
    <w:rsid w:val="00945CFA"/>
    <w:rsid w:val="00946C46"/>
    <w:rsid w:val="0094734E"/>
    <w:rsid w:val="00947F9E"/>
    <w:rsid w:val="00950F6D"/>
    <w:rsid w:val="009514CD"/>
    <w:rsid w:val="00951A91"/>
    <w:rsid w:val="00953336"/>
    <w:rsid w:val="009538D5"/>
    <w:rsid w:val="009540B8"/>
    <w:rsid w:val="009542AF"/>
    <w:rsid w:val="00955B07"/>
    <w:rsid w:val="009561CE"/>
    <w:rsid w:val="00956CFB"/>
    <w:rsid w:val="00957215"/>
    <w:rsid w:val="009633AE"/>
    <w:rsid w:val="00963FFF"/>
    <w:rsid w:val="0096447A"/>
    <w:rsid w:val="00966B5F"/>
    <w:rsid w:val="00967FD6"/>
    <w:rsid w:val="0097196E"/>
    <w:rsid w:val="00971E9C"/>
    <w:rsid w:val="00976624"/>
    <w:rsid w:val="009766DF"/>
    <w:rsid w:val="00976C5D"/>
    <w:rsid w:val="00976FDC"/>
    <w:rsid w:val="0097718B"/>
    <w:rsid w:val="00977376"/>
    <w:rsid w:val="0098031A"/>
    <w:rsid w:val="0098433D"/>
    <w:rsid w:val="0098475E"/>
    <w:rsid w:val="00985084"/>
    <w:rsid w:val="00985B92"/>
    <w:rsid w:val="009867F9"/>
    <w:rsid w:val="00987296"/>
    <w:rsid w:val="0098796B"/>
    <w:rsid w:val="00987A13"/>
    <w:rsid w:val="0099051E"/>
    <w:rsid w:val="0099170E"/>
    <w:rsid w:val="00991B32"/>
    <w:rsid w:val="00992ED3"/>
    <w:rsid w:val="00994082"/>
    <w:rsid w:val="00994C23"/>
    <w:rsid w:val="009952D4"/>
    <w:rsid w:val="009959C8"/>
    <w:rsid w:val="009A2E85"/>
    <w:rsid w:val="009A4BF8"/>
    <w:rsid w:val="009A5357"/>
    <w:rsid w:val="009A5EF7"/>
    <w:rsid w:val="009A5F02"/>
    <w:rsid w:val="009A7025"/>
    <w:rsid w:val="009A70AA"/>
    <w:rsid w:val="009B177D"/>
    <w:rsid w:val="009B3376"/>
    <w:rsid w:val="009B5B63"/>
    <w:rsid w:val="009B6F7B"/>
    <w:rsid w:val="009B7131"/>
    <w:rsid w:val="009B73CA"/>
    <w:rsid w:val="009B7842"/>
    <w:rsid w:val="009B7BD9"/>
    <w:rsid w:val="009B7C10"/>
    <w:rsid w:val="009C07F9"/>
    <w:rsid w:val="009C2493"/>
    <w:rsid w:val="009C25C0"/>
    <w:rsid w:val="009C37C1"/>
    <w:rsid w:val="009C3974"/>
    <w:rsid w:val="009C4392"/>
    <w:rsid w:val="009C47D0"/>
    <w:rsid w:val="009C64E6"/>
    <w:rsid w:val="009C6C80"/>
    <w:rsid w:val="009D09A2"/>
    <w:rsid w:val="009D0AE5"/>
    <w:rsid w:val="009D28D4"/>
    <w:rsid w:val="009D2E7C"/>
    <w:rsid w:val="009D4F60"/>
    <w:rsid w:val="009D50B1"/>
    <w:rsid w:val="009D5284"/>
    <w:rsid w:val="009D7FC5"/>
    <w:rsid w:val="009E491B"/>
    <w:rsid w:val="009E4E73"/>
    <w:rsid w:val="009E5637"/>
    <w:rsid w:val="009F09EE"/>
    <w:rsid w:val="009F1352"/>
    <w:rsid w:val="009F1E70"/>
    <w:rsid w:val="009F33C8"/>
    <w:rsid w:val="009F4D83"/>
    <w:rsid w:val="009F5B9C"/>
    <w:rsid w:val="009F5E82"/>
    <w:rsid w:val="00A01676"/>
    <w:rsid w:val="00A01ED1"/>
    <w:rsid w:val="00A028F1"/>
    <w:rsid w:val="00A029F0"/>
    <w:rsid w:val="00A02AD0"/>
    <w:rsid w:val="00A02B22"/>
    <w:rsid w:val="00A05D52"/>
    <w:rsid w:val="00A061F8"/>
    <w:rsid w:val="00A0672D"/>
    <w:rsid w:val="00A06D95"/>
    <w:rsid w:val="00A07364"/>
    <w:rsid w:val="00A11930"/>
    <w:rsid w:val="00A124AD"/>
    <w:rsid w:val="00A1274C"/>
    <w:rsid w:val="00A12BAD"/>
    <w:rsid w:val="00A13196"/>
    <w:rsid w:val="00A132F2"/>
    <w:rsid w:val="00A135F7"/>
    <w:rsid w:val="00A1409D"/>
    <w:rsid w:val="00A16485"/>
    <w:rsid w:val="00A174B1"/>
    <w:rsid w:val="00A17FBB"/>
    <w:rsid w:val="00A20129"/>
    <w:rsid w:val="00A216C6"/>
    <w:rsid w:val="00A22175"/>
    <w:rsid w:val="00A228EC"/>
    <w:rsid w:val="00A23118"/>
    <w:rsid w:val="00A23F35"/>
    <w:rsid w:val="00A246BD"/>
    <w:rsid w:val="00A24D2F"/>
    <w:rsid w:val="00A26067"/>
    <w:rsid w:val="00A260F4"/>
    <w:rsid w:val="00A27CDB"/>
    <w:rsid w:val="00A27CE2"/>
    <w:rsid w:val="00A300ED"/>
    <w:rsid w:val="00A30520"/>
    <w:rsid w:val="00A30A5F"/>
    <w:rsid w:val="00A30DB1"/>
    <w:rsid w:val="00A315DC"/>
    <w:rsid w:val="00A33BC3"/>
    <w:rsid w:val="00A35617"/>
    <w:rsid w:val="00A36665"/>
    <w:rsid w:val="00A36A94"/>
    <w:rsid w:val="00A40302"/>
    <w:rsid w:val="00A40D0E"/>
    <w:rsid w:val="00A40D35"/>
    <w:rsid w:val="00A42456"/>
    <w:rsid w:val="00A42484"/>
    <w:rsid w:val="00A424A6"/>
    <w:rsid w:val="00A42912"/>
    <w:rsid w:val="00A433FC"/>
    <w:rsid w:val="00A4341C"/>
    <w:rsid w:val="00A43449"/>
    <w:rsid w:val="00A470F7"/>
    <w:rsid w:val="00A47A01"/>
    <w:rsid w:val="00A50D67"/>
    <w:rsid w:val="00A50E65"/>
    <w:rsid w:val="00A51B5C"/>
    <w:rsid w:val="00A52291"/>
    <w:rsid w:val="00A52E68"/>
    <w:rsid w:val="00A5367F"/>
    <w:rsid w:val="00A53C75"/>
    <w:rsid w:val="00A5412A"/>
    <w:rsid w:val="00A54195"/>
    <w:rsid w:val="00A541BA"/>
    <w:rsid w:val="00A567F7"/>
    <w:rsid w:val="00A56880"/>
    <w:rsid w:val="00A57F82"/>
    <w:rsid w:val="00A602CA"/>
    <w:rsid w:val="00A60751"/>
    <w:rsid w:val="00A60B22"/>
    <w:rsid w:val="00A60E43"/>
    <w:rsid w:val="00A627ED"/>
    <w:rsid w:val="00A62EF2"/>
    <w:rsid w:val="00A633AE"/>
    <w:rsid w:val="00A6559A"/>
    <w:rsid w:val="00A65883"/>
    <w:rsid w:val="00A658A6"/>
    <w:rsid w:val="00A6696F"/>
    <w:rsid w:val="00A67AE3"/>
    <w:rsid w:val="00A75278"/>
    <w:rsid w:val="00A75B99"/>
    <w:rsid w:val="00A75CC5"/>
    <w:rsid w:val="00A75E3F"/>
    <w:rsid w:val="00A77305"/>
    <w:rsid w:val="00A7738E"/>
    <w:rsid w:val="00A77EFF"/>
    <w:rsid w:val="00A81231"/>
    <w:rsid w:val="00A81372"/>
    <w:rsid w:val="00A827E3"/>
    <w:rsid w:val="00A832AE"/>
    <w:rsid w:val="00A83A64"/>
    <w:rsid w:val="00A84EDF"/>
    <w:rsid w:val="00A858EE"/>
    <w:rsid w:val="00A8681E"/>
    <w:rsid w:val="00A871FA"/>
    <w:rsid w:val="00A8725E"/>
    <w:rsid w:val="00A8764A"/>
    <w:rsid w:val="00A917FE"/>
    <w:rsid w:val="00A92F8D"/>
    <w:rsid w:val="00A93707"/>
    <w:rsid w:val="00A94467"/>
    <w:rsid w:val="00A95C96"/>
    <w:rsid w:val="00A973DB"/>
    <w:rsid w:val="00A97DDE"/>
    <w:rsid w:val="00AA004F"/>
    <w:rsid w:val="00AA04B4"/>
    <w:rsid w:val="00AA1BA1"/>
    <w:rsid w:val="00AA23D6"/>
    <w:rsid w:val="00AA349E"/>
    <w:rsid w:val="00AA3C67"/>
    <w:rsid w:val="00AA41DB"/>
    <w:rsid w:val="00AA5BA3"/>
    <w:rsid w:val="00AA7A47"/>
    <w:rsid w:val="00AB065F"/>
    <w:rsid w:val="00AB0E03"/>
    <w:rsid w:val="00AB13FE"/>
    <w:rsid w:val="00AB19C7"/>
    <w:rsid w:val="00AB2373"/>
    <w:rsid w:val="00AB3D2E"/>
    <w:rsid w:val="00AB3FE3"/>
    <w:rsid w:val="00AB4AB9"/>
    <w:rsid w:val="00AB4AD8"/>
    <w:rsid w:val="00AB4E6B"/>
    <w:rsid w:val="00AB609B"/>
    <w:rsid w:val="00AB7B97"/>
    <w:rsid w:val="00AC0A04"/>
    <w:rsid w:val="00AC172B"/>
    <w:rsid w:val="00AC26A4"/>
    <w:rsid w:val="00AC4C13"/>
    <w:rsid w:val="00AC5B96"/>
    <w:rsid w:val="00AC6AED"/>
    <w:rsid w:val="00AC79DC"/>
    <w:rsid w:val="00AC7FA4"/>
    <w:rsid w:val="00AD000E"/>
    <w:rsid w:val="00AD09DD"/>
    <w:rsid w:val="00AD1074"/>
    <w:rsid w:val="00AD19A2"/>
    <w:rsid w:val="00AD2BBB"/>
    <w:rsid w:val="00AD2DDB"/>
    <w:rsid w:val="00AD306C"/>
    <w:rsid w:val="00AD323C"/>
    <w:rsid w:val="00AD47E3"/>
    <w:rsid w:val="00AD7322"/>
    <w:rsid w:val="00AE0EFB"/>
    <w:rsid w:val="00AE222D"/>
    <w:rsid w:val="00AE2E77"/>
    <w:rsid w:val="00AE2F75"/>
    <w:rsid w:val="00AE3E56"/>
    <w:rsid w:val="00AE407E"/>
    <w:rsid w:val="00AE6E48"/>
    <w:rsid w:val="00AF055C"/>
    <w:rsid w:val="00AF0911"/>
    <w:rsid w:val="00AF09EC"/>
    <w:rsid w:val="00AF1282"/>
    <w:rsid w:val="00AF1604"/>
    <w:rsid w:val="00AF2834"/>
    <w:rsid w:val="00AF3A5F"/>
    <w:rsid w:val="00AF3A9B"/>
    <w:rsid w:val="00AF3CA1"/>
    <w:rsid w:val="00AF7819"/>
    <w:rsid w:val="00AF7AB2"/>
    <w:rsid w:val="00B0132D"/>
    <w:rsid w:val="00B01706"/>
    <w:rsid w:val="00B022A9"/>
    <w:rsid w:val="00B023A3"/>
    <w:rsid w:val="00B024C6"/>
    <w:rsid w:val="00B02C30"/>
    <w:rsid w:val="00B02E7C"/>
    <w:rsid w:val="00B0347C"/>
    <w:rsid w:val="00B036E7"/>
    <w:rsid w:val="00B03E88"/>
    <w:rsid w:val="00B058E4"/>
    <w:rsid w:val="00B05A85"/>
    <w:rsid w:val="00B06450"/>
    <w:rsid w:val="00B111E3"/>
    <w:rsid w:val="00B123E9"/>
    <w:rsid w:val="00B1273C"/>
    <w:rsid w:val="00B13195"/>
    <w:rsid w:val="00B13F2D"/>
    <w:rsid w:val="00B14282"/>
    <w:rsid w:val="00B142E1"/>
    <w:rsid w:val="00B14FCA"/>
    <w:rsid w:val="00B157F7"/>
    <w:rsid w:val="00B1599E"/>
    <w:rsid w:val="00B17082"/>
    <w:rsid w:val="00B20AB4"/>
    <w:rsid w:val="00B21FE8"/>
    <w:rsid w:val="00B22423"/>
    <w:rsid w:val="00B233AE"/>
    <w:rsid w:val="00B23834"/>
    <w:rsid w:val="00B23CF1"/>
    <w:rsid w:val="00B245C8"/>
    <w:rsid w:val="00B24785"/>
    <w:rsid w:val="00B24C44"/>
    <w:rsid w:val="00B25191"/>
    <w:rsid w:val="00B254A0"/>
    <w:rsid w:val="00B25672"/>
    <w:rsid w:val="00B26809"/>
    <w:rsid w:val="00B26FAA"/>
    <w:rsid w:val="00B27D94"/>
    <w:rsid w:val="00B30F14"/>
    <w:rsid w:val="00B33578"/>
    <w:rsid w:val="00B33D75"/>
    <w:rsid w:val="00B348AE"/>
    <w:rsid w:val="00B358C6"/>
    <w:rsid w:val="00B40607"/>
    <w:rsid w:val="00B407C3"/>
    <w:rsid w:val="00B41108"/>
    <w:rsid w:val="00B43032"/>
    <w:rsid w:val="00B436B3"/>
    <w:rsid w:val="00B4451E"/>
    <w:rsid w:val="00B446C4"/>
    <w:rsid w:val="00B449BE"/>
    <w:rsid w:val="00B4554A"/>
    <w:rsid w:val="00B46F74"/>
    <w:rsid w:val="00B475F9"/>
    <w:rsid w:val="00B5063A"/>
    <w:rsid w:val="00B52B42"/>
    <w:rsid w:val="00B5350E"/>
    <w:rsid w:val="00B53CAD"/>
    <w:rsid w:val="00B54379"/>
    <w:rsid w:val="00B54AAA"/>
    <w:rsid w:val="00B55B5C"/>
    <w:rsid w:val="00B560EA"/>
    <w:rsid w:val="00B5659B"/>
    <w:rsid w:val="00B567E4"/>
    <w:rsid w:val="00B56E2A"/>
    <w:rsid w:val="00B60396"/>
    <w:rsid w:val="00B62015"/>
    <w:rsid w:val="00B62310"/>
    <w:rsid w:val="00B6311E"/>
    <w:rsid w:val="00B6342C"/>
    <w:rsid w:val="00B6381F"/>
    <w:rsid w:val="00B63B07"/>
    <w:rsid w:val="00B63D9E"/>
    <w:rsid w:val="00B6575A"/>
    <w:rsid w:val="00B67CDD"/>
    <w:rsid w:val="00B70000"/>
    <w:rsid w:val="00B701CE"/>
    <w:rsid w:val="00B70F0E"/>
    <w:rsid w:val="00B71BE2"/>
    <w:rsid w:val="00B72217"/>
    <w:rsid w:val="00B72AE0"/>
    <w:rsid w:val="00B73767"/>
    <w:rsid w:val="00B73FBE"/>
    <w:rsid w:val="00B742F9"/>
    <w:rsid w:val="00B74DAB"/>
    <w:rsid w:val="00B762E0"/>
    <w:rsid w:val="00B77B15"/>
    <w:rsid w:val="00B80D8C"/>
    <w:rsid w:val="00B810C2"/>
    <w:rsid w:val="00B829EB"/>
    <w:rsid w:val="00B83081"/>
    <w:rsid w:val="00B85147"/>
    <w:rsid w:val="00B85503"/>
    <w:rsid w:val="00B862B8"/>
    <w:rsid w:val="00B87F36"/>
    <w:rsid w:val="00B905EE"/>
    <w:rsid w:val="00B91B8F"/>
    <w:rsid w:val="00B93C18"/>
    <w:rsid w:val="00B94805"/>
    <w:rsid w:val="00B94AAB"/>
    <w:rsid w:val="00B94C98"/>
    <w:rsid w:val="00B94DA1"/>
    <w:rsid w:val="00B95A46"/>
    <w:rsid w:val="00B97CF3"/>
    <w:rsid w:val="00BA049C"/>
    <w:rsid w:val="00BA098A"/>
    <w:rsid w:val="00BA26A8"/>
    <w:rsid w:val="00BA3F86"/>
    <w:rsid w:val="00BA40DC"/>
    <w:rsid w:val="00BA453A"/>
    <w:rsid w:val="00BA507C"/>
    <w:rsid w:val="00BA7285"/>
    <w:rsid w:val="00BA76E1"/>
    <w:rsid w:val="00BB02AF"/>
    <w:rsid w:val="00BB0BD5"/>
    <w:rsid w:val="00BB139F"/>
    <w:rsid w:val="00BB2356"/>
    <w:rsid w:val="00BB3834"/>
    <w:rsid w:val="00BB3FB0"/>
    <w:rsid w:val="00BB6E5B"/>
    <w:rsid w:val="00BB78AB"/>
    <w:rsid w:val="00BB7D42"/>
    <w:rsid w:val="00BB7E03"/>
    <w:rsid w:val="00BC1907"/>
    <w:rsid w:val="00BC1E32"/>
    <w:rsid w:val="00BC24C3"/>
    <w:rsid w:val="00BC34B6"/>
    <w:rsid w:val="00BC39F4"/>
    <w:rsid w:val="00BC3C98"/>
    <w:rsid w:val="00BC6118"/>
    <w:rsid w:val="00BC6F63"/>
    <w:rsid w:val="00BC74A6"/>
    <w:rsid w:val="00BC7E57"/>
    <w:rsid w:val="00BD02D6"/>
    <w:rsid w:val="00BD04FC"/>
    <w:rsid w:val="00BD216E"/>
    <w:rsid w:val="00BD28B9"/>
    <w:rsid w:val="00BD3413"/>
    <w:rsid w:val="00BD34E3"/>
    <w:rsid w:val="00BD3FF1"/>
    <w:rsid w:val="00BD46A9"/>
    <w:rsid w:val="00BD4E39"/>
    <w:rsid w:val="00BD53C0"/>
    <w:rsid w:val="00BD644C"/>
    <w:rsid w:val="00BE0345"/>
    <w:rsid w:val="00BE0EB4"/>
    <w:rsid w:val="00BE26B1"/>
    <w:rsid w:val="00BE2CD6"/>
    <w:rsid w:val="00BE3978"/>
    <w:rsid w:val="00BE3E80"/>
    <w:rsid w:val="00BE4F97"/>
    <w:rsid w:val="00BE4FD6"/>
    <w:rsid w:val="00BE5021"/>
    <w:rsid w:val="00BE5783"/>
    <w:rsid w:val="00BE6986"/>
    <w:rsid w:val="00BE6CCC"/>
    <w:rsid w:val="00BE7884"/>
    <w:rsid w:val="00BE7F80"/>
    <w:rsid w:val="00BF0ACF"/>
    <w:rsid w:val="00BF1670"/>
    <w:rsid w:val="00BF2343"/>
    <w:rsid w:val="00BF2504"/>
    <w:rsid w:val="00BF35C9"/>
    <w:rsid w:val="00BF5B75"/>
    <w:rsid w:val="00BF6427"/>
    <w:rsid w:val="00BF7994"/>
    <w:rsid w:val="00BF7CDC"/>
    <w:rsid w:val="00C00346"/>
    <w:rsid w:val="00C00357"/>
    <w:rsid w:val="00C00FF6"/>
    <w:rsid w:val="00C017E0"/>
    <w:rsid w:val="00C02AE7"/>
    <w:rsid w:val="00C02ED9"/>
    <w:rsid w:val="00C04363"/>
    <w:rsid w:val="00C0436A"/>
    <w:rsid w:val="00C0531B"/>
    <w:rsid w:val="00C0596F"/>
    <w:rsid w:val="00C06358"/>
    <w:rsid w:val="00C06367"/>
    <w:rsid w:val="00C07886"/>
    <w:rsid w:val="00C10A1E"/>
    <w:rsid w:val="00C11874"/>
    <w:rsid w:val="00C12059"/>
    <w:rsid w:val="00C125D5"/>
    <w:rsid w:val="00C12750"/>
    <w:rsid w:val="00C15516"/>
    <w:rsid w:val="00C15BFA"/>
    <w:rsid w:val="00C164B1"/>
    <w:rsid w:val="00C17BF7"/>
    <w:rsid w:val="00C2120D"/>
    <w:rsid w:val="00C21D53"/>
    <w:rsid w:val="00C21E87"/>
    <w:rsid w:val="00C22E6A"/>
    <w:rsid w:val="00C23C90"/>
    <w:rsid w:val="00C23DE2"/>
    <w:rsid w:val="00C25391"/>
    <w:rsid w:val="00C25D05"/>
    <w:rsid w:val="00C261F8"/>
    <w:rsid w:val="00C2636A"/>
    <w:rsid w:val="00C26682"/>
    <w:rsid w:val="00C27267"/>
    <w:rsid w:val="00C2782A"/>
    <w:rsid w:val="00C27DDA"/>
    <w:rsid w:val="00C308F0"/>
    <w:rsid w:val="00C31F37"/>
    <w:rsid w:val="00C34637"/>
    <w:rsid w:val="00C34827"/>
    <w:rsid w:val="00C357D6"/>
    <w:rsid w:val="00C3613F"/>
    <w:rsid w:val="00C3638D"/>
    <w:rsid w:val="00C37C81"/>
    <w:rsid w:val="00C40FED"/>
    <w:rsid w:val="00C412EB"/>
    <w:rsid w:val="00C41409"/>
    <w:rsid w:val="00C41A69"/>
    <w:rsid w:val="00C41FDE"/>
    <w:rsid w:val="00C431E3"/>
    <w:rsid w:val="00C439CE"/>
    <w:rsid w:val="00C4489F"/>
    <w:rsid w:val="00C44A8D"/>
    <w:rsid w:val="00C44DB3"/>
    <w:rsid w:val="00C4526E"/>
    <w:rsid w:val="00C465FB"/>
    <w:rsid w:val="00C47388"/>
    <w:rsid w:val="00C5180E"/>
    <w:rsid w:val="00C51DFB"/>
    <w:rsid w:val="00C53D14"/>
    <w:rsid w:val="00C540BD"/>
    <w:rsid w:val="00C546D9"/>
    <w:rsid w:val="00C55EF2"/>
    <w:rsid w:val="00C56302"/>
    <w:rsid w:val="00C565F6"/>
    <w:rsid w:val="00C574EA"/>
    <w:rsid w:val="00C57935"/>
    <w:rsid w:val="00C57975"/>
    <w:rsid w:val="00C63183"/>
    <w:rsid w:val="00C63A89"/>
    <w:rsid w:val="00C65716"/>
    <w:rsid w:val="00C662DD"/>
    <w:rsid w:val="00C66B8F"/>
    <w:rsid w:val="00C670CD"/>
    <w:rsid w:val="00C67621"/>
    <w:rsid w:val="00C67D2A"/>
    <w:rsid w:val="00C7000D"/>
    <w:rsid w:val="00C708C4"/>
    <w:rsid w:val="00C71034"/>
    <w:rsid w:val="00C713B4"/>
    <w:rsid w:val="00C7355C"/>
    <w:rsid w:val="00C74056"/>
    <w:rsid w:val="00C74E55"/>
    <w:rsid w:val="00C755EB"/>
    <w:rsid w:val="00C7585A"/>
    <w:rsid w:val="00C76A5B"/>
    <w:rsid w:val="00C76CB4"/>
    <w:rsid w:val="00C76E72"/>
    <w:rsid w:val="00C77052"/>
    <w:rsid w:val="00C8041C"/>
    <w:rsid w:val="00C80C1F"/>
    <w:rsid w:val="00C816B9"/>
    <w:rsid w:val="00C81DD0"/>
    <w:rsid w:val="00C81EAC"/>
    <w:rsid w:val="00C82A82"/>
    <w:rsid w:val="00C856CE"/>
    <w:rsid w:val="00C87A45"/>
    <w:rsid w:val="00C90CC8"/>
    <w:rsid w:val="00C91DF6"/>
    <w:rsid w:val="00C92A63"/>
    <w:rsid w:val="00C92C78"/>
    <w:rsid w:val="00C93AFA"/>
    <w:rsid w:val="00C93F1A"/>
    <w:rsid w:val="00C94C8D"/>
    <w:rsid w:val="00C964E9"/>
    <w:rsid w:val="00C970A0"/>
    <w:rsid w:val="00C97BE2"/>
    <w:rsid w:val="00CA026D"/>
    <w:rsid w:val="00CA0928"/>
    <w:rsid w:val="00CA0F55"/>
    <w:rsid w:val="00CA11B5"/>
    <w:rsid w:val="00CA1A93"/>
    <w:rsid w:val="00CA2452"/>
    <w:rsid w:val="00CA2675"/>
    <w:rsid w:val="00CA4B77"/>
    <w:rsid w:val="00CA4CFC"/>
    <w:rsid w:val="00CA778C"/>
    <w:rsid w:val="00CA7EE8"/>
    <w:rsid w:val="00CB0632"/>
    <w:rsid w:val="00CB1B1E"/>
    <w:rsid w:val="00CB2F03"/>
    <w:rsid w:val="00CB32D0"/>
    <w:rsid w:val="00CB5CEE"/>
    <w:rsid w:val="00CC04A7"/>
    <w:rsid w:val="00CC2E4B"/>
    <w:rsid w:val="00CC2EDF"/>
    <w:rsid w:val="00CC3BBC"/>
    <w:rsid w:val="00CC3F38"/>
    <w:rsid w:val="00CC4448"/>
    <w:rsid w:val="00CC4C75"/>
    <w:rsid w:val="00CC5810"/>
    <w:rsid w:val="00CC58C6"/>
    <w:rsid w:val="00CC5B45"/>
    <w:rsid w:val="00CC6307"/>
    <w:rsid w:val="00CC6A6C"/>
    <w:rsid w:val="00CC74FD"/>
    <w:rsid w:val="00CD1AF9"/>
    <w:rsid w:val="00CD244F"/>
    <w:rsid w:val="00CD29EC"/>
    <w:rsid w:val="00CD2CF5"/>
    <w:rsid w:val="00CD34AB"/>
    <w:rsid w:val="00CD515F"/>
    <w:rsid w:val="00CD6666"/>
    <w:rsid w:val="00CD7A29"/>
    <w:rsid w:val="00CE16E2"/>
    <w:rsid w:val="00CE18E2"/>
    <w:rsid w:val="00CE1CA4"/>
    <w:rsid w:val="00CE2339"/>
    <w:rsid w:val="00CE37F1"/>
    <w:rsid w:val="00CE4F65"/>
    <w:rsid w:val="00CE5018"/>
    <w:rsid w:val="00CE5900"/>
    <w:rsid w:val="00CE5A95"/>
    <w:rsid w:val="00CE5D41"/>
    <w:rsid w:val="00CE64C5"/>
    <w:rsid w:val="00CE69DD"/>
    <w:rsid w:val="00CF0974"/>
    <w:rsid w:val="00CF2080"/>
    <w:rsid w:val="00CF3876"/>
    <w:rsid w:val="00CF4431"/>
    <w:rsid w:val="00CF4614"/>
    <w:rsid w:val="00CF5687"/>
    <w:rsid w:val="00CF58D7"/>
    <w:rsid w:val="00CF5F15"/>
    <w:rsid w:val="00CF66C0"/>
    <w:rsid w:val="00CF6A84"/>
    <w:rsid w:val="00CF6AF8"/>
    <w:rsid w:val="00CF6E3C"/>
    <w:rsid w:val="00CF71D3"/>
    <w:rsid w:val="00D000A2"/>
    <w:rsid w:val="00D00954"/>
    <w:rsid w:val="00D022E4"/>
    <w:rsid w:val="00D025EB"/>
    <w:rsid w:val="00D02D71"/>
    <w:rsid w:val="00D03E96"/>
    <w:rsid w:val="00D044F1"/>
    <w:rsid w:val="00D04B03"/>
    <w:rsid w:val="00D06970"/>
    <w:rsid w:val="00D06CAA"/>
    <w:rsid w:val="00D1047E"/>
    <w:rsid w:val="00D1089E"/>
    <w:rsid w:val="00D11A58"/>
    <w:rsid w:val="00D12289"/>
    <w:rsid w:val="00D122D1"/>
    <w:rsid w:val="00D137CE"/>
    <w:rsid w:val="00D16CD8"/>
    <w:rsid w:val="00D174BF"/>
    <w:rsid w:val="00D20680"/>
    <w:rsid w:val="00D20F90"/>
    <w:rsid w:val="00D22F71"/>
    <w:rsid w:val="00D23588"/>
    <w:rsid w:val="00D244CF"/>
    <w:rsid w:val="00D24EAB"/>
    <w:rsid w:val="00D2566C"/>
    <w:rsid w:val="00D26DD0"/>
    <w:rsid w:val="00D3014A"/>
    <w:rsid w:val="00D30CBA"/>
    <w:rsid w:val="00D3109C"/>
    <w:rsid w:val="00D322C4"/>
    <w:rsid w:val="00D326D2"/>
    <w:rsid w:val="00D33628"/>
    <w:rsid w:val="00D33BAB"/>
    <w:rsid w:val="00D353AE"/>
    <w:rsid w:val="00D35DBC"/>
    <w:rsid w:val="00D363F0"/>
    <w:rsid w:val="00D36C81"/>
    <w:rsid w:val="00D40049"/>
    <w:rsid w:val="00D406DA"/>
    <w:rsid w:val="00D40DC6"/>
    <w:rsid w:val="00D41998"/>
    <w:rsid w:val="00D4299B"/>
    <w:rsid w:val="00D43B8D"/>
    <w:rsid w:val="00D450D0"/>
    <w:rsid w:val="00D45629"/>
    <w:rsid w:val="00D46658"/>
    <w:rsid w:val="00D47D6C"/>
    <w:rsid w:val="00D5031E"/>
    <w:rsid w:val="00D50F9D"/>
    <w:rsid w:val="00D514E5"/>
    <w:rsid w:val="00D51681"/>
    <w:rsid w:val="00D52809"/>
    <w:rsid w:val="00D535F8"/>
    <w:rsid w:val="00D53661"/>
    <w:rsid w:val="00D541C3"/>
    <w:rsid w:val="00D549C0"/>
    <w:rsid w:val="00D54D34"/>
    <w:rsid w:val="00D54DA8"/>
    <w:rsid w:val="00D556DB"/>
    <w:rsid w:val="00D56A0B"/>
    <w:rsid w:val="00D57D59"/>
    <w:rsid w:val="00D606EB"/>
    <w:rsid w:val="00D606F4"/>
    <w:rsid w:val="00D61485"/>
    <w:rsid w:val="00D617EE"/>
    <w:rsid w:val="00D61917"/>
    <w:rsid w:val="00D624AD"/>
    <w:rsid w:val="00D62CB0"/>
    <w:rsid w:val="00D62F3C"/>
    <w:rsid w:val="00D6325E"/>
    <w:rsid w:val="00D63497"/>
    <w:rsid w:val="00D63A89"/>
    <w:rsid w:val="00D63B43"/>
    <w:rsid w:val="00D65533"/>
    <w:rsid w:val="00D658B4"/>
    <w:rsid w:val="00D65F7E"/>
    <w:rsid w:val="00D66565"/>
    <w:rsid w:val="00D66895"/>
    <w:rsid w:val="00D70964"/>
    <w:rsid w:val="00D72051"/>
    <w:rsid w:val="00D73D12"/>
    <w:rsid w:val="00D747DD"/>
    <w:rsid w:val="00D75D57"/>
    <w:rsid w:val="00D7786B"/>
    <w:rsid w:val="00D77AE9"/>
    <w:rsid w:val="00D77CFD"/>
    <w:rsid w:val="00D80DAF"/>
    <w:rsid w:val="00D8307C"/>
    <w:rsid w:val="00D839F6"/>
    <w:rsid w:val="00D83DFA"/>
    <w:rsid w:val="00D83FA4"/>
    <w:rsid w:val="00D84955"/>
    <w:rsid w:val="00D84FFA"/>
    <w:rsid w:val="00D85CD9"/>
    <w:rsid w:val="00D86511"/>
    <w:rsid w:val="00D870A2"/>
    <w:rsid w:val="00D87A06"/>
    <w:rsid w:val="00D9332D"/>
    <w:rsid w:val="00D93584"/>
    <w:rsid w:val="00D93DA1"/>
    <w:rsid w:val="00D94676"/>
    <w:rsid w:val="00D95D47"/>
    <w:rsid w:val="00D95E40"/>
    <w:rsid w:val="00D96FF2"/>
    <w:rsid w:val="00D97087"/>
    <w:rsid w:val="00D9786C"/>
    <w:rsid w:val="00DA1EB0"/>
    <w:rsid w:val="00DA31D6"/>
    <w:rsid w:val="00DA3621"/>
    <w:rsid w:val="00DA3716"/>
    <w:rsid w:val="00DA3C19"/>
    <w:rsid w:val="00DA41C0"/>
    <w:rsid w:val="00DA5658"/>
    <w:rsid w:val="00DA708B"/>
    <w:rsid w:val="00DA771B"/>
    <w:rsid w:val="00DA7B13"/>
    <w:rsid w:val="00DB0F66"/>
    <w:rsid w:val="00DB2970"/>
    <w:rsid w:val="00DB481A"/>
    <w:rsid w:val="00DB51FF"/>
    <w:rsid w:val="00DB610C"/>
    <w:rsid w:val="00DB6E05"/>
    <w:rsid w:val="00DC0885"/>
    <w:rsid w:val="00DC1139"/>
    <w:rsid w:val="00DC12A1"/>
    <w:rsid w:val="00DC1340"/>
    <w:rsid w:val="00DC1EDD"/>
    <w:rsid w:val="00DC3819"/>
    <w:rsid w:val="00DC42F6"/>
    <w:rsid w:val="00DC435F"/>
    <w:rsid w:val="00DC4443"/>
    <w:rsid w:val="00DC4B9C"/>
    <w:rsid w:val="00DC5243"/>
    <w:rsid w:val="00DC6095"/>
    <w:rsid w:val="00DD0A9E"/>
    <w:rsid w:val="00DD1C2E"/>
    <w:rsid w:val="00DD2C6A"/>
    <w:rsid w:val="00DD3B94"/>
    <w:rsid w:val="00DD4188"/>
    <w:rsid w:val="00DD47FF"/>
    <w:rsid w:val="00DD6F63"/>
    <w:rsid w:val="00DD7D14"/>
    <w:rsid w:val="00DE0804"/>
    <w:rsid w:val="00DE0A90"/>
    <w:rsid w:val="00DE102A"/>
    <w:rsid w:val="00DE1726"/>
    <w:rsid w:val="00DE1994"/>
    <w:rsid w:val="00DE49C3"/>
    <w:rsid w:val="00DE50FE"/>
    <w:rsid w:val="00DE636A"/>
    <w:rsid w:val="00DE7228"/>
    <w:rsid w:val="00DE7405"/>
    <w:rsid w:val="00DE766B"/>
    <w:rsid w:val="00DF15F9"/>
    <w:rsid w:val="00DF2055"/>
    <w:rsid w:val="00DF323A"/>
    <w:rsid w:val="00DF51AD"/>
    <w:rsid w:val="00DF54DA"/>
    <w:rsid w:val="00DF5B7A"/>
    <w:rsid w:val="00DF6966"/>
    <w:rsid w:val="00E02D59"/>
    <w:rsid w:val="00E02DBE"/>
    <w:rsid w:val="00E02E3A"/>
    <w:rsid w:val="00E031FA"/>
    <w:rsid w:val="00E04162"/>
    <w:rsid w:val="00E0426A"/>
    <w:rsid w:val="00E0638F"/>
    <w:rsid w:val="00E07EA2"/>
    <w:rsid w:val="00E11192"/>
    <w:rsid w:val="00E11A45"/>
    <w:rsid w:val="00E11B7F"/>
    <w:rsid w:val="00E13184"/>
    <w:rsid w:val="00E13844"/>
    <w:rsid w:val="00E14589"/>
    <w:rsid w:val="00E15F44"/>
    <w:rsid w:val="00E1666A"/>
    <w:rsid w:val="00E16AB0"/>
    <w:rsid w:val="00E20472"/>
    <w:rsid w:val="00E216DC"/>
    <w:rsid w:val="00E21E1A"/>
    <w:rsid w:val="00E22111"/>
    <w:rsid w:val="00E22EFE"/>
    <w:rsid w:val="00E2320B"/>
    <w:rsid w:val="00E23672"/>
    <w:rsid w:val="00E23B5E"/>
    <w:rsid w:val="00E2417C"/>
    <w:rsid w:val="00E262CD"/>
    <w:rsid w:val="00E26537"/>
    <w:rsid w:val="00E26EF7"/>
    <w:rsid w:val="00E27433"/>
    <w:rsid w:val="00E2783E"/>
    <w:rsid w:val="00E30E23"/>
    <w:rsid w:val="00E31127"/>
    <w:rsid w:val="00E31E75"/>
    <w:rsid w:val="00E32B32"/>
    <w:rsid w:val="00E34C82"/>
    <w:rsid w:val="00E34FE7"/>
    <w:rsid w:val="00E35747"/>
    <w:rsid w:val="00E36698"/>
    <w:rsid w:val="00E368BF"/>
    <w:rsid w:val="00E37595"/>
    <w:rsid w:val="00E40BA9"/>
    <w:rsid w:val="00E41BB0"/>
    <w:rsid w:val="00E4266F"/>
    <w:rsid w:val="00E44F90"/>
    <w:rsid w:val="00E44F99"/>
    <w:rsid w:val="00E46478"/>
    <w:rsid w:val="00E47B92"/>
    <w:rsid w:val="00E47E2D"/>
    <w:rsid w:val="00E5025E"/>
    <w:rsid w:val="00E5075D"/>
    <w:rsid w:val="00E523AE"/>
    <w:rsid w:val="00E53002"/>
    <w:rsid w:val="00E54634"/>
    <w:rsid w:val="00E547BE"/>
    <w:rsid w:val="00E54996"/>
    <w:rsid w:val="00E55247"/>
    <w:rsid w:val="00E61412"/>
    <w:rsid w:val="00E61524"/>
    <w:rsid w:val="00E63424"/>
    <w:rsid w:val="00E635FC"/>
    <w:rsid w:val="00E63F8B"/>
    <w:rsid w:val="00E64027"/>
    <w:rsid w:val="00E64035"/>
    <w:rsid w:val="00E640D4"/>
    <w:rsid w:val="00E65831"/>
    <w:rsid w:val="00E65EB9"/>
    <w:rsid w:val="00E66363"/>
    <w:rsid w:val="00E6668A"/>
    <w:rsid w:val="00E6690F"/>
    <w:rsid w:val="00E673FE"/>
    <w:rsid w:val="00E67880"/>
    <w:rsid w:val="00E679F6"/>
    <w:rsid w:val="00E709EA"/>
    <w:rsid w:val="00E70D8B"/>
    <w:rsid w:val="00E7107D"/>
    <w:rsid w:val="00E7238C"/>
    <w:rsid w:val="00E72FE5"/>
    <w:rsid w:val="00E730CD"/>
    <w:rsid w:val="00E7387E"/>
    <w:rsid w:val="00E73AE1"/>
    <w:rsid w:val="00E73D5B"/>
    <w:rsid w:val="00E74C54"/>
    <w:rsid w:val="00E762E1"/>
    <w:rsid w:val="00E7673A"/>
    <w:rsid w:val="00E779BE"/>
    <w:rsid w:val="00E77DD6"/>
    <w:rsid w:val="00E80765"/>
    <w:rsid w:val="00E80E85"/>
    <w:rsid w:val="00E81DCE"/>
    <w:rsid w:val="00E82BF9"/>
    <w:rsid w:val="00E839C8"/>
    <w:rsid w:val="00E83D9E"/>
    <w:rsid w:val="00E84BF9"/>
    <w:rsid w:val="00E8636D"/>
    <w:rsid w:val="00E906BC"/>
    <w:rsid w:val="00E90D06"/>
    <w:rsid w:val="00E920C9"/>
    <w:rsid w:val="00E92C20"/>
    <w:rsid w:val="00E94F7F"/>
    <w:rsid w:val="00E955A3"/>
    <w:rsid w:val="00E96A80"/>
    <w:rsid w:val="00EA07B2"/>
    <w:rsid w:val="00EA0ABD"/>
    <w:rsid w:val="00EA0F4A"/>
    <w:rsid w:val="00EA0FFB"/>
    <w:rsid w:val="00EA1CE9"/>
    <w:rsid w:val="00EA5D91"/>
    <w:rsid w:val="00EA6180"/>
    <w:rsid w:val="00EA6927"/>
    <w:rsid w:val="00EA6CDB"/>
    <w:rsid w:val="00EA7DA6"/>
    <w:rsid w:val="00EB26CF"/>
    <w:rsid w:val="00EB2B67"/>
    <w:rsid w:val="00EB327D"/>
    <w:rsid w:val="00EB35F8"/>
    <w:rsid w:val="00EB3A66"/>
    <w:rsid w:val="00EB3D3E"/>
    <w:rsid w:val="00EB4F95"/>
    <w:rsid w:val="00EB54F0"/>
    <w:rsid w:val="00EB597D"/>
    <w:rsid w:val="00EB5B85"/>
    <w:rsid w:val="00EB5DEB"/>
    <w:rsid w:val="00EB5E0C"/>
    <w:rsid w:val="00EC1BA2"/>
    <w:rsid w:val="00EC353E"/>
    <w:rsid w:val="00EC3E52"/>
    <w:rsid w:val="00EC502B"/>
    <w:rsid w:val="00EC68DF"/>
    <w:rsid w:val="00EC7141"/>
    <w:rsid w:val="00ED1559"/>
    <w:rsid w:val="00ED2490"/>
    <w:rsid w:val="00ED2AF1"/>
    <w:rsid w:val="00ED2D21"/>
    <w:rsid w:val="00ED3ED1"/>
    <w:rsid w:val="00ED5CFB"/>
    <w:rsid w:val="00ED6E09"/>
    <w:rsid w:val="00EE14CA"/>
    <w:rsid w:val="00EE17E9"/>
    <w:rsid w:val="00EE2516"/>
    <w:rsid w:val="00EE39CF"/>
    <w:rsid w:val="00EE3ABB"/>
    <w:rsid w:val="00EE567D"/>
    <w:rsid w:val="00EE655C"/>
    <w:rsid w:val="00EF0DAC"/>
    <w:rsid w:val="00EF1A30"/>
    <w:rsid w:val="00EF3CDD"/>
    <w:rsid w:val="00EF415B"/>
    <w:rsid w:val="00EF4F08"/>
    <w:rsid w:val="00EF4F1D"/>
    <w:rsid w:val="00EF692A"/>
    <w:rsid w:val="00EF725C"/>
    <w:rsid w:val="00EF7C28"/>
    <w:rsid w:val="00EF7EB0"/>
    <w:rsid w:val="00F016C9"/>
    <w:rsid w:val="00F03F3B"/>
    <w:rsid w:val="00F04876"/>
    <w:rsid w:val="00F05676"/>
    <w:rsid w:val="00F0570D"/>
    <w:rsid w:val="00F07CAC"/>
    <w:rsid w:val="00F10284"/>
    <w:rsid w:val="00F109EE"/>
    <w:rsid w:val="00F119BA"/>
    <w:rsid w:val="00F11E9E"/>
    <w:rsid w:val="00F13E69"/>
    <w:rsid w:val="00F14148"/>
    <w:rsid w:val="00F1501B"/>
    <w:rsid w:val="00F165BF"/>
    <w:rsid w:val="00F170A4"/>
    <w:rsid w:val="00F1768D"/>
    <w:rsid w:val="00F20E8C"/>
    <w:rsid w:val="00F23116"/>
    <w:rsid w:val="00F231C4"/>
    <w:rsid w:val="00F23622"/>
    <w:rsid w:val="00F24191"/>
    <w:rsid w:val="00F25415"/>
    <w:rsid w:val="00F2568D"/>
    <w:rsid w:val="00F25B77"/>
    <w:rsid w:val="00F271AA"/>
    <w:rsid w:val="00F27C68"/>
    <w:rsid w:val="00F30E33"/>
    <w:rsid w:val="00F31143"/>
    <w:rsid w:val="00F31186"/>
    <w:rsid w:val="00F32951"/>
    <w:rsid w:val="00F33C5D"/>
    <w:rsid w:val="00F34F09"/>
    <w:rsid w:val="00F356D5"/>
    <w:rsid w:val="00F35BF9"/>
    <w:rsid w:val="00F372EE"/>
    <w:rsid w:val="00F37AAE"/>
    <w:rsid w:val="00F37B4B"/>
    <w:rsid w:val="00F420A5"/>
    <w:rsid w:val="00F4216E"/>
    <w:rsid w:val="00F43FF1"/>
    <w:rsid w:val="00F44AA0"/>
    <w:rsid w:val="00F463B7"/>
    <w:rsid w:val="00F471F5"/>
    <w:rsid w:val="00F4795E"/>
    <w:rsid w:val="00F500A0"/>
    <w:rsid w:val="00F513B0"/>
    <w:rsid w:val="00F519B4"/>
    <w:rsid w:val="00F5528F"/>
    <w:rsid w:val="00F558C0"/>
    <w:rsid w:val="00F569CC"/>
    <w:rsid w:val="00F6028F"/>
    <w:rsid w:val="00F60FCD"/>
    <w:rsid w:val="00F614FE"/>
    <w:rsid w:val="00F616B8"/>
    <w:rsid w:val="00F6191A"/>
    <w:rsid w:val="00F61B79"/>
    <w:rsid w:val="00F62B7A"/>
    <w:rsid w:val="00F62C29"/>
    <w:rsid w:val="00F63561"/>
    <w:rsid w:val="00F64F89"/>
    <w:rsid w:val="00F6699E"/>
    <w:rsid w:val="00F67166"/>
    <w:rsid w:val="00F71492"/>
    <w:rsid w:val="00F7524F"/>
    <w:rsid w:val="00F756DE"/>
    <w:rsid w:val="00F773F8"/>
    <w:rsid w:val="00F81426"/>
    <w:rsid w:val="00F81440"/>
    <w:rsid w:val="00F818DB"/>
    <w:rsid w:val="00F822A2"/>
    <w:rsid w:val="00F82373"/>
    <w:rsid w:val="00F82F33"/>
    <w:rsid w:val="00F8309D"/>
    <w:rsid w:val="00F830DC"/>
    <w:rsid w:val="00F83162"/>
    <w:rsid w:val="00F83510"/>
    <w:rsid w:val="00F848C3"/>
    <w:rsid w:val="00F857CD"/>
    <w:rsid w:val="00F858BB"/>
    <w:rsid w:val="00F85A56"/>
    <w:rsid w:val="00F86870"/>
    <w:rsid w:val="00F8736D"/>
    <w:rsid w:val="00F90817"/>
    <w:rsid w:val="00F929F7"/>
    <w:rsid w:val="00F935E9"/>
    <w:rsid w:val="00F96A8A"/>
    <w:rsid w:val="00F97705"/>
    <w:rsid w:val="00F97A0A"/>
    <w:rsid w:val="00F97AD5"/>
    <w:rsid w:val="00FA03D9"/>
    <w:rsid w:val="00FA0D18"/>
    <w:rsid w:val="00FA16E4"/>
    <w:rsid w:val="00FA1BD8"/>
    <w:rsid w:val="00FA2181"/>
    <w:rsid w:val="00FA2379"/>
    <w:rsid w:val="00FA30DE"/>
    <w:rsid w:val="00FA39A3"/>
    <w:rsid w:val="00FA4015"/>
    <w:rsid w:val="00FA4340"/>
    <w:rsid w:val="00FA5497"/>
    <w:rsid w:val="00FA6187"/>
    <w:rsid w:val="00FA62F7"/>
    <w:rsid w:val="00FA6B18"/>
    <w:rsid w:val="00FB04FC"/>
    <w:rsid w:val="00FB0A91"/>
    <w:rsid w:val="00FB16AD"/>
    <w:rsid w:val="00FB1FC9"/>
    <w:rsid w:val="00FB25E7"/>
    <w:rsid w:val="00FB26DB"/>
    <w:rsid w:val="00FB4473"/>
    <w:rsid w:val="00FB4DB7"/>
    <w:rsid w:val="00FB5C6E"/>
    <w:rsid w:val="00FB6B0D"/>
    <w:rsid w:val="00FB7066"/>
    <w:rsid w:val="00FC1269"/>
    <w:rsid w:val="00FC1CC5"/>
    <w:rsid w:val="00FC2250"/>
    <w:rsid w:val="00FC35B5"/>
    <w:rsid w:val="00FC59D3"/>
    <w:rsid w:val="00FC6C1E"/>
    <w:rsid w:val="00FC723A"/>
    <w:rsid w:val="00FC74B9"/>
    <w:rsid w:val="00FD089F"/>
    <w:rsid w:val="00FD1843"/>
    <w:rsid w:val="00FD2E13"/>
    <w:rsid w:val="00FD2E52"/>
    <w:rsid w:val="00FD315E"/>
    <w:rsid w:val="00FD3206"/>
    <w:rsid w:val="00FD3E2F"/>
    <w:rsid w:val="00FD44BB"/>
    <w:rsid w:val="00FD4707"/>
    <w:rsid w:val="00FD697B"/>
    <w:rsid w:val="00FD7311"/>
    <w:rsid w:val="00FD7363"/>
    <w:rsid w:val="00FD7A73"/>
    <w:rsid w:val="00FE004E"/>
    <w:rsid w:val="00FE1333"/>
    <w:rsid w:val="00FE207E"/>
    <w:rsid w:val="00FE3979"/>
    <w:rsid w:val="00FE4DAC"/>
    <w:rsid w:val="00FE5FD6"/>
    <w:rsid w:val="00FE6056"/>
    <w:rsid w:val="00FE6242"/>
    <w:rsid w:val="00FE6AA7"/>
    <w:rsid w:val="00FE760C"/>
    <w:rsid w:val="00FF0BB6"/>
    <w:rsid w:val="00FF1B49"/>
    <w:rsid w:val="00FF2E63"/>
    <w:rsid w:val="00FF36FC"/>
    <w:rsid w:val="00FF3702"/>
    <w:rsid w:val="00FF39EF"/>
    <w:rsid w:val="00FF3EDC"/>
    <w:rsid w:val="00FF3F78"/>
    <w:rsid w:val="00FF4321"/>
    <w:rsid w:val="00FF60E6"/>
    <w:rsid w:val="00FF6AEC"/>
    <w:rsid w:val="00FF7166"/>
    <w:rsid w:val="00FF7B9E"/>
    <w:rsid w:val="00FF7DF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191"/>
    <w:rPr>
      <w:sz w:val="24"/>
      <w:szCs w:val="24"/>
    </w:rPr>
  </w:style>
  <w:style w:type="paragraph" w:styleId="Heading1">
    <w:name w:val="heading 1"/>
    <w:basedOn w:val="Normal"/>
    <w:next w:val="Normal"/>
    <w:qFormat/>
    <w:rsid w:val="00FB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B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123B"/>
    <w:pPr>
      <w:spacing w:before="100" w:beforeAutospacing="1" w:after="119"/>
    </w:pPr>
  </w:style>
  <w:style w:type="paragraph" w:styleId="Header">
    <w:name w:val="header"/>
    <w:basedOn w:val="Normal"/>
    <w:rsid w:val="00BC1907"/>
    <w:pPr>
      <w:tabs>
        <w:tab w:val="center" w:pos="4536"/>
        <w:tab w:val="right" w:pos="9072"/>
      </w:tabs>
    </w:pPr>
  </w:style>
  <w:style w:type="paragraph" w:styleId="Footer">
    <w:name w:val="footer"/>
    <w:basedOn w:val="Normal"/>
    <w:rsid w:val="00BC1907"/>
    <w:pPr>
      <w:tabs>
        <w:tab w:val="center" w:pos="4536"/>
        <w:tab w:val="right" w:pos="9072"/>
      </w:tabs>
    </w:pPr>
  </w:style>
  <w:style w:type="paragraph" w:customStyle="1" w:styleId="Subject">
    <w:name w:val="Subject"/>
    <w:basedOn w:val="Normal"/>
    <w:next w:val="Normal"/>
    <w:rsid w:val="001B3097"/>
    <w:pPr>
      <w:spacing w:after="480"/>
      <w:ind w:left="1531" w:hanging="1531"/>
    </w:pPr>
    <w:rPr>
      <w:b/>
      <w:szCs w:val="20"/>
      <w:lang w:val="en-GB" w:eastAsia="en-US"/>
    </w:rPr>
  </w:style>
  <w:style w:type="paragraph" w:styleId="BalloonText">
    <w:name w:val="Balloon Text"/>
    <w:basedOn w:val="Normal"/>
    <w:semiHidden/>
    <w:rsid w:val="0026453F"/>
    <w:rPr>
      <w:rFonts w:ascii="Tahoma" w:hAnsi="Tahoma" w:cs="Tahoma"/>
      <w:sz w:val="16"/>
      <w:szCs w:val="16"/>
    </w:rPr>
  </w:style>
  <w:style w:type="character" w:styleId="CommentReference">
    <w:name w:val="annotation reference"/>
    <w:basedOn w:val="DefaultParagraphFont"/>
    <w:rsid w:val="000C011F"/>
    <w:rPr>
      <w:sz w:val="16"/>
      <w:szCs w:val="16"/>
    </w:rPr>
  </w:style>
  <w:style w:type="paragraph" w:styleId="CommentText">
    <w:name w:val="annotation text"/>
    <w:basedOn w:val="Normal"/>
    <w:link w:val="CommentTextChar"/>
    <w:rsid w:val="000C011F"/>
    <w:rPr>
      <w:sz w:val="20"/>
      <w:szCs w:val="20"/>
    </w:rPr>
  </w:style>
  <w:style w:type="paragraph" w:styleId="CommentSubject">
    <w:name w:val="annotation subject"/>
    <w:basedOn w:val="CommentText"/>
    <w:next w:val="CommentText"/>
    <w:semiHidden/>
    <w:rsid w:val="000C011F"/>
    <w:rPr>
      <w:b/>
      <w:bCs/>
    </w:rPr>
  </w:style>
  <w:style w:type="character" w:styleId="PageNumber">
    <w:name w:val="page number"/>
    <w:basedOn w:val="DefaultParagraphFont"/>
    <w:rsid w:val="00E66363"/>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1"/>
    <w:basedOn w:val="Normal"/>
    <w:link w:val="FootnoteTextChar2"/>
    <w:semiHidden/>
    <w:rsid w:val="00CB2F03"/>
    <w:rPr>
      <w:sz w:val="20"/>
      <w:szCs w:val="20"/>
    </w:rPr>
  </w:style>
  <w:style w:type="character" w:styleId="FootnoteReference">
    <w:name w:val="footnote reference"/>
    <w:aliases w:val="Footnote symbol"/>
    <w:basedOn w:val="DefaultParagraphFont"/>
    <w:semiHidden/>
    <w:rsid w:val="00CB2F03"/>
    <w:rPr>
      <w:vertAlign w:val="superscript"/>
    </w:rPr>
  </w:style>
  <w:style w:type="paragraph" w:customStyle="1" w:styleId="ldpealkirjaalapealkiri">
    <w:name w:val="Üldpealkirja alapealkiri"/>
    <w:basedOn w:val="Normal"/>
    <w:qFormat/>
    <w:rsid w:val="00476912"/>
    <w:pPr>
      <w:spacing w:line="360" w:lineRule="auto"/>
      <w:ind w:right="851"/>
    </w:pPr>
    <w:rPr>
      <w:rFonts w:ascii="Helvetica LT Std" w:eastAsia="Calibri" w:hAnsi="Helvetica LT Std"/>
      <w:caps/>
      <w:color w:val="3FB8E1"/>
      <w:sz w:val="26"/>
      <w:szCs w:val="26"/>
      <w:lang w:eastAsia="en-US"/>
    </w:rPr>
  </w:style>
  <w:style w:type="paragraph" w:customStyle="1" w:styleId="Tiret0">
    <w:name w:val="Tiret 0"/>
    <w:basedOn w:val="Normal"/>
    <w:rsid w:val="00AB19C7"/>
    <w:pPr>
      <w:numPr>
        <w:numId w:val="2"/>
      </w:numPr>
      <w:spacing w:before="120" w:after="120"/>
      <w:jc w:val="both"/>
    </w:pPr>
    <w:rPr>
      <w:lang w:val="en-GB" w:eastAsia="de-DE"/>
    </w:rPr>
  </w:style>
  <w:style w:type="character" w:customStyle="1" w:styleId="FootnoteTextChar2">
    <w:name w:val="Footnote Text Char2"/>
    <w:aliases w:val="Footnote Text Char Char,Footnote Text Char1 Char Char,Footnote Text Char Char Char Char,Footnote Text Char2 Char Char Char Char,Footnote Text Char1 Char Char Char Char Char,Footnote Text Char Char Char Char Char Char Char,Plonk Char"/>
    <w:basedOn w:val="DefaultParagraphFont"/>
    <w:link w:val="FootnoteText"/>
    <w:locked/>
    <w:rsid w:val="00AB19C7"/>
    <w:rPr>
      <w:lang w:val="et-EE" w:eastAsia="et-EE" w:bidi="ar-SA"/>
    </w:rPr>
  </w:style>
  <w:style w:type="character" w:customStyle="1" w:styleId="CharChar10">
    <w:name w:val="Char Char10"/>
    <w:basedOn w:val="DefaultParagraphFont"/>
    <w:semiHidden/>
    <w:rsid w:val="008D5ABD"/>
    <w:rPr>
      <w:lang w:val="et-EE" w:eastAsia="et-EE" w:bidi="ar-SA"/>
    </w:rPr>
  </w:style>
  <w:style w:type="character" w:customStyle="1" w:styleId="FootnoteTextCharCharCharCharChar1">
    <w:name w:val="Footnote Text Char Char Char Char Char1"/>
    <w:aliases w:val="Footnote Text Char Char Char1,Footnote Text Char Char Char Char Char Char Char Char Char,Footnote Text Char Char Char Char1"/>
    <w:basedOn w:val="DefaultParagraphFont"/>
    <w:semiHidden/>
    <w:rsid w:val="00FC74B9"/>
    <w:rPr>
      <w:rFonts w:ascii="Garamond" w:hAnsi="Garamond"/>
      <w:sz w:val="18"/>
      <w:szCs w:val="18"/>
      <w:lang w:val="et-EE" w:eastAsia="en-US" w:bidi="ar-SA"/>
    </w:rPr>
  </w:style>
  <w:style w:type="paragraph" w:styleId="BodyText">
    <w:name w:val="Body Text"/>
    <w:basedOn w:val="Normal"/>
    <w:rsid w:val="00FC74B9"/>
    <w:pPr>
      <w:spacing w:after="120"/>
    </w:pPr>
  </w:style>
  <w:style w:type="table" w:styleId="TableGrid">
    <w:name w:val="Table Grid"/>
    <w:basedOn w:val="TableNormal"/>
    <w:rsid w:val="00A56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itekst">
    <w:name w:val="Põhitekst"/>
    <w:basedOn w:val="Normal"/>
    <w:link w:val="PhitekstChar"/>
    <w:qFormat/>
    <w:rsid w:val="0074603A"/>
    <w:pPr>
      <w:autoSpaceDE w:val="0"/>
      <w:autoSpaceDN w:val="0"/>
      <w:adjustRightInd w:val="0"/>
      <w:spacing w:before="480" w:line="241" w:lineRule="atLeast"/>
      <w:jc w:val="both"/>
    </w:pPr>
    <w:rPr>
      <w:rFonts w:ascii="Georgia" w:eastAsia="Calibri" w:hAnsi="Georgia"/>
      <w:color w:val="4C4B40"/>
      <w:sz w:val="22"/>
      <w:lang w:eastAsia="en-US"/>
    </w:rPr>
  </w:style>
  <w:style w:type="character" w:customStyle="1" w:styleId="PhitekstChar">
    <w:name w:val="Põhitekst Char"/>
    <w:basedOn w:val="DefaultParagraphFont"/>
    <w:link w:val="Phitekst"/>
    <w:rsid w:val="0074603A"/>
    <w:rPr>
      <w:rFonts w:ascii="Georgia" w:eastAsia="Calibri" w:hAnsi="Georgia"/>
      <w:color w:val="4C4B40"/>
      <w:sz w:val="22"/>
      <w:szCs w:val="24"/>
      <w:lang w:val="et-EE" w:eastAsia="en-US" w:bidi="ar-SA"/>
    </w:rPr>
  </w:style>
  <w:style w:type="character" w:styleId="Hyperlink">
    <w:name w:val="Hyperlink"/>
    <w:basedOn w:val="DefaultParagraphFont"/>
    <w:rsid w:val="00B46F74"/>
    <w:rPr>
      <w:color w:val="0000FF"/>
      <w:u w:val="single"/>
    </w:rPr>
  </w:style>
  <w:style w:type="paragraph" w:customStyle="1" w:styleId="Joonisealapealkiri">
    <w:name w:val="Joonise alapealkiri"/>
    <w:basedOn w:val="Normal"/>
    <w:rsid w:val="00450D7F"/>
    <w:pPr>
      <w:keepNext/>
      <w:jc w:val="both"/>
    </w:pPr>
    <w:rPr>
      <w:rFonts w:ascii="Garamond" w:hAnsi="Garamond"/>
      <w:b/>
      <w:bCs/>
      <w:color w:val="0000FF"/>
      <w:sz w:val="22"/>
      <w:szCs w:val="20"/>
      <w:lang w:eastAsia="en-US"/>
    </w:rPr>
  </w:style>
  <w:style w:type="paragraph" w:customStyle="1" w:styleId="BodyTextTekstGaramond12">
    <w:name w:val="Body Text: Tekst Garamond 12"/>
    <w:basedOn w:val="Normal"/>
    <w:link w:val="BodyTextTekstGaramond12Char"/>
    <w:rsid w:val="008231F0"/>
    <w:pPr>
      <w:suppressAutoHyphens/>
      <w:jc w:val="both"/>
    </w:pPr>
    <w:rPr>
      <w:rFonts w:ascii="Garamond" w:hAnsi="Garamond"/>
      <w:szCs w:val="20"/>
      <w:lang w:eastAsia="ar-SA"/>
    </w:rPr>
  </w:style>
  <w:style w:type="character" w:customStyle="1" w:styleId="BodyTextTekstGaramond12Char">
    <w:name w:val="Body Text: Tekst Garamond 12 Char"/>
    <w:basedOn w:val="DefaultParagraphFont"/>
    <w:link w:val="BodyTextTekstGaramond12"/>
    <w:locked/>
    <w:rsid w:val="008231F0"/>
    <w:rPr>
      <w:rFonts w:ascii="Garamond" w:hAnsi="Garamond"/>
      <w:sz w:val="24"/>
      <w:lang w:val="et-EE" w:eastAsia="ar-SA" w:bidi="ar-SA"/>
    </w:rPr>
  </w:style>
  <w:style w:type="paragraph" w:customStyle="1" w:styleId="BodyTextTekstGaramond11">
    <w:name w:val="Body Text: Tekst Garamond 11"/>
    <w:basedOn w:val="Normal"/>
    <w:rsid w:val="00F2568D"/>
    <w:pPr>
      <w:jc w:val="both"/>
    </w:pPr>
    <w:rPr>
      <w:rFonts w:ascii="Garamond" w:hAnsi="Garamond"/>
      <w:sz w:val="22"/>
      <w:szCs w:val="20"/>
      <w:lang w:eastAsia="en-US"/>
    </w:rPr>
  </w:style>
  <w:style w:type="character" w:styleId="Strong">
    <w:name w:val="Strong"/>
    <w:basedOn w:val="DefaultParagraphFont"/>
    <w:uiPriority w:val="22"/>
    <w:qFormat/>
    <w:rsid w:val="00976624"/>
    <w:rPr>
      <w:b/>
      <w:bCs/>
    </w:rPr>
  </w:style>
  <w:style w:type="paragraph" w:customStyle="1" w:styleId="Loendilik">
    <w:name w:val="Loendi lõik"/>
    <w:basedOn w:val="Normal"/>
    <w:qFormat/>
    <w:rsid w:val="002E2EAC"/>
    <w:pPr>
      <w:ind w:left="708"/>
    </w:pPr>
  </w:style>
  <w:style w:type="paragraph" w:customStyle="1" w:styleId="Default">
    <w:name w:val="Default"/>
    <w:rsid w:val="00DF323A"/>
    <w:pPr>
      <w:autoSpaceDE w:val="0"/>
      <w:autoSpaceDN w:val="0"/>
      <w:adjustRightInd w:val="0"/>
    </w:pPr>
    <w:rPr>
      <w:color w:val="000000"/>
      <w:sz w:val="24"/>
      <w:szCs w:val="24"/>
      <w:lang w:val="en-US" w:eastAsia="en-US"/>
    </w:rPr>
  </w:style>
  <w:style w:type="character" w:customStyle="1" w:styleId="CommentTextChar">
    <w:name w:val="Comment Text Char"/>
    <w:basedOn w:val="DefaultParagraphFont"/>
    <w:link w:val="CommentText"/>
    <w:locked/>
    <w:rsid w:val="00DF323A"/>
    <w:rPr>
      <w:lang w:val="et-EE" w:eastAsia="et-EE" w:bidi="ar-SA"/>
    </w:rPr>
  </w:style>
  <w:style w:type="paragraph" w:styleId="BodyText3">
    <w:name w:val="Body Text 3"/>
    <w:basedOn w:val="Normal"/>
    <w:link w:val="BodyText3Char"/>
    <w:rsid w:val="00514B18"/>
    <w:pPr>
      <w:spacing w:after="120"/>
    </w:pPr>
    <w:rPr>
      <w:sz w:val="16"/>
      <w:szCs w:val="16"/>
    </w:rPr>
  </w:style>
  <w:style w:type="character" w:customStyle="1" w:styleId="BodyText3Char">
    <w:name w:val="Body Text 3 Char"/>
    <w:basedOn w:val="DefaultParagraphFont"/>
    <w:link w:val="BodyText3"/>
    <w:rsid w:val="00514B18"/>
    <w:rPr>
      <w:sz w:val="16"/>
      <w:szCs w:val="16"/>
    </w:rPr>
  </w:style>
  <w:style w:type="character" w:customStyle="1" w:styleId="FontStyle16">
    <w:name w:val="Font Style16"/>
    <w:rsid w:val="00514B18"/>
    <w:rPr>
      <w:rFonts w:ascii="Garamond" w:hAnsi="Garamond" w:cs="Garamond"/>
      <w:sz w:val="16"/>
      <w:szCs w:val="16"/>
    </w:rPr>
  </w:style>
  <w:style w:type="paragraph" w:styleId="DocumentMap">
    <w:name w:val="Document Map"/>
    <w:basedOn w:val="Normal"/>
    <w:link w:val="DocumentMapChar"/>
    <w:rsid w:val="007D1482"/>
    <w:rPr>
      <w:rFonts w:ascii="Tahoma" w:hAnsi="Tahoma" w:cs="Tahoma"/>
      <w:sz w:val="16"/>
      <w:szCs w:val="16"/>
    </w:rPr>
  </w:style>
  <w:style w:type="character" w:customStyle="1" w:styleId="DocumentMapChar">
    <w:name w:val="Document Map Char"/>
    <w:basedOn w:val="DefaultParagraphFont"/>
    <w:link w:val="DocumentMap"/>
    <w:rsid w:val="007D1482"/>
    <w:rPr>
      <w:rFonts w:ascii="Tahoma" w:hAnsi="Tahoma" w:cs="Tahoma"/>
      <w:sz w:val="16"/>
      <w:szCs w:val="16"/>
    </w:rPr>
  </w:style>
  <w:style w:type="paragraph" w:customStyle="1" w:styleId="Tabelitekst">
    <w:name w:val="Tabeli tekst"/>
    <w:basedOn w:val="BodyText"/>
    <w:rsid w:val="00A56880"/>
    <w:pPr>
      <w:spacing w:after="0"/>
    </w:pPr>
    <w:rPr>
      <w:rFonts w:ascii="Garamond" w:hAnsi="Garamond"/>
      <w:sz w:val="20"/>
      <w:szCs w:val="20"/>
      <w:lang w:eastAsia="en-US"/>
    </w:rPr>
  </w:style>
</w:styles>
</file>

<file path=word/webSettings.xml><?xml version="1.0" encoding="utf-8"?>
<w:webSettings xmlns:r="http://schemas.openxmlformats.org/officeDocument/2006/relationships" xmlns:w="http://schemas.openxmlformats.org/wordprocessingml/2006/main">
  <w:divs>
    <w:div w:id="41446006">
      <w:bodyDiv w:val="1"/>
      <w:marLeft w:val="0"/>
      <w:marRight w:val="0"/>
      <w:marTop w:val="0"/>
      <w:marBottom w:val="0"/>
      <w:divBdr>
        <w:top w:val="none" w:sz="0" w:space="0" w:color="auto"/>
        <w:left w:val="none" w:sz="0" w:space="0" w:color="auto"/>
        <w:bottom w:val="none" w:sz="0" w:space="0" w:color="auto"/>
        <w:right w:val="none" w:sz="0" w:space="0" w:color="auto"/>
      </w:divBdr>
    </w:div>
    <w:div w:id="65878545">
      <w:bodyDiv w:val="1"/>
      <w:marLeft w:val="0"/>
      <w:marRight w:val="0"/>
      <w:marTop w:val="0"/>
      <w:marBottom w:val="0"/>
      <w:divBdr>
        <w:top w:val="none" w:sz="0" w:space="0" w:color="auto"/>
        <w:left w:val="none" w:sz="0" w:space="0" w:color="auto"/>
        <w:bottom w:val="none" w:sz="0" w:space="0" w:color="auto"/>
        <w:right w:val="none" w:sz="0" w:space="0" w:color="auto"/>
      </w:divBdr>
    </w:div>
    <w:div w:id="154957339">
      <w:bodyDiv w:val="1"/>
      <w:marLeft w:val="0"/>
      <w:marRight w:val="0"/>
      <w:marTop w:val="0"/>
      <w:marBottom w:val="0"/>
      <w:divBdr>
        <w:top w:val="none" w:sz="0" w:space="0" w:color="auto"/>
        <w:left w:val="none" w:sz="0" w:space="0" w:color="auto"/>
        <w:bottom w:val="none" w:sz="0" w:space="0" w:color="auto"/>
        <w:right w:val="none" w:sz="0" w:space="0" w:color="auto"/>
      </w:divBdr>
      <w:divsChild>
        <w:div w:id="1107579519">
          <w:marLeft w:val="0"/>
          <w:marRight w:val="0"/>
          <w:marTop w:val="0"/>
          <w:marBottom w:val="0"/>
          <w:divBdr>
            <w:top w:val="none" w:sz="0" w:space="0" w:color="auto"/>
            <w:left w:val="none" w:sz="0" w:space="0" w:color="auto"/>
            <w:bottom w:val="none" w:sz="0" w:space="0" w:color="auto"/>
            <w:right w:val="none" w:sz="0" w:space="0" w:color="auto"/>
          </w:divBdr>
          <w:divsChild>
            <w:div w:id="695932654">
              <w:marLeft w:val="45"/>
              <w:marRight w:val="45"/>
              <w:marTop w:val="45"/>
              <w:marBottom w:val="45"/>
              <w:divBdr>
                <w:top w:val="none" w:sz="0" w:space="0" w:color="auto"/>
                <w:left w:val="none" w:sz="0" w:space="0" w:color="auto"/>
                <w:bottom w:val="none" w:sz="0" w:space="0" w:color="auto"/>
                <w:right w:val="none" w:sz="0" w:space="0" w:color="auto"/>
              </w:divBdr>
            </w:div>
            <w:div w:id="1535731937">
              <w:marLeft w:val="45"/>
              <w:marRight w:val="45"/>
              <w:marTop w:val="45"/>
              <w:marBottom w:val="45"/>
              <w:divBdr>
                <w:top w:val="none" w:sz="0" w:space="0" w:color="auto"/>
                <w:left w:val="none" w:sz="0" w:space="0" w:color="auto"/>
                <w:bottom w:val="none" w:sz="0" w:space="0" w:color="auto"/>
                <w:right w:val="none" w:sz="0" w:space="0" w:color="auto"/>
              </w:divBdr>
            </w:div>
          </w:divsChild>
        </w:div>
        <w:div w:id="2105177343">
          <w:marLeft w:val="0"/>
          <w:marRight w:val="0"/>
          <w:marTop w:val="0"/>
          <w:marBottom w:val="0"/>
          <w:divBdr>
            <w:top w:val="single" w:sz="8" w:space="3" w:color="B5C4DF"/>
            <w:left w:val="none" w:sz="0" w:space="0" w:color="auto"/>
            <w:bottom w:val="none" w:sz="0" w:space="0" w:color="auto"/>
            <w:right w:val="none" w:sz="0" w:space="0" w:color="auto"/>
          </w:divBdr>
        </w:div>
      </w:divsChild>
    </w:div>
    <w:div w:id="166285409">
      <w:bodyDiv w:val="1"/>
      <w:marLeft w:val="0"/>
      <w:marRight w:val="0"/>
      <w:marTop w:val="0"/>
      <w:marBottom w:val="0"/>
      <w:divBdr>
        <w:top w:val="none" w:sz="0" w:space="0" w:color="auto"/>
        <w:left w:val="none" w:sz="0" w:space="0" w:color="auto"/>
        <w:bottom w:val="none" w:sz="0" w:space="0" w:color="auto"/>
        <w:right w:val="none" w:sz="0" w:space="0" w:color="auto"/>
      </w:divBdr>
    </w:div>
    <w:div w:id="410852337">
      <w:bodyDiv w:val="1"/>
      <w:marLeft w:val="0"/>
      <w:marRight w:val="0"/>
      <w:marTop w:val="0"/>
      <w:marBottom w:val="0"/>
      <w:divBdr>
        <w:top w:val="none" w:sz="0" w:space="0" w:color="auto"/>
        <w:left w:val="none" w:sz="0" w:space="0" w:color="auto"/>
        <w:bottom w:val="none" w:sz="0" w:space="0" w:color="auto"/>
        <w:right w:val="none" w:sz="0" w:space="0" w:color="auto"/>
      </w:divBdr>
    </w:div>
    <w:div w:id="520316553">
      <w:bodyDiv w:val="1"/>
      <w:marLeft w:val="0"/>
      <w:marRight w:val="0"/>
      <w:marTop w:val="0"/>
      <w:marBottom w:val="0"/>
      <w:divBdr>
        <w:top w:val="none" w:sz="0" w:space="0" w:color="auto"/>
        <w:left w:val="none" w:sz="0" w:space="0" w:color="auto"/>
        <w:bottom w:val="none" w:sz="0" w:space="0" w:color="auto"/>
        <w:right w:val="none" w:sz="0" w:space="0" w:color="auto"/>
      </w:divBdr>
    </w:div>
    <w:div w:id="605697482">
      <w:bodyDiv w:val="1"/>
      <w:marLeft w:val="0"/>
      <w:marRight w:val="0"/>
      <w:marTop w:val="0"/>
      <w:marBottom w:val="0"/>
      <w:divBdr>
        <w:top w:val="none" w:sz="0" w:space="0" w:color="auto"/>
        <w:left w:val="none" w:sz="0" w:space="0" w:color="auto"/>
        <w:bottom w:val="none" w:sz="0" w:space="0" w:color="auto"/>
        <w:right w:val="none" w:sz="0" w:space="0" w:color="auto"/>
      </w:divBdr>
    </w:div>
    <w:div w:id="709574759">
      <w:bodyDiv w:val="1"/>
      <w:marLeft w:val="0"/>
      <w:marRight w:val="0"/>
      <w:marTop w:val="0"/>
      <w:marBottom w:val="0"/>
      <w:divBdr>
        <w:top w:val="none" w:sz="0" w:space="0" w:color="auto"/>
        <w:left w:val="none" w:sz="0" w:space="0" w:color="auto"/>
        <w:bottom w:val="none" w:sz="0" w:space="0" w:color="auto"/>
        <w:right w:val="none" w:sz="0" w:space="0" w:color="auto"/>
      </w:divBdr>
    </w:div>
    <w:div w:id="710886732">
      <w:bodyDiv w:val="1"/>
      <w:marLeft w:val="0"/>
      <w:marRight w:val="0"/>
      <w:marTop w:val="0"/>
      <w:marBottom w:val="0"/>
      <w:divBdr>
        <w:top w:val="none" w:sz="0" w:space="0" w:color="auto"/>
        <w:left w:val="none" w:sz="0" w:space="0" w:color="auto"/>
        <w:bottom w:val="none" w:sz="0" w:space="0" w:color="auto"/>
        <w:right w:val="none" w:sz="0" w:space="0" w:color="auto"/>
      </w:divBdr>
    </w:div>
    <w:div w:id="8051212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424408">
          <w:marLeft w:val="0"/>
          <w:marRight w:val="0"/>
          <w:marTop w:val="0"/>
          <w:marBottom w:val="0"/>
          <w:divBdr>
            <w:top w:val="none" w:sz="0" w:space="0" w:color="auto"/>
            <w:left w:val="none" w:sz="0" w:space="0" w:color="auto"/>
            <w:bottom w:val="none" w:sz="0" w:space="0" w:color="auto"/>
            <w:right w:val="none" w:sz="0" w:space="0" w:color="auto"/>
          </w:divBdr>
        </w:div>
      </w:divsChild>
    </w:div>
    <w:div w:id="1100761754">
      <w:bodyDiv w:val="1"/>
      <w:marLeft w:val="0"/>
      <w:marRight w:val="0"/>
      <w:marTop w:val="0"/>
      <w:marBottom w:val="0"/>
      <w:divBdr>
        <w:top w:val="none" w:sz="0" w:space="0" w:color="auto"/>
        <w:left w:val="none" w:sz="0" w:space="0" w:color="auto"/>
        <w:bottom w:val="none" w:sz="0" w:space="0" w:color="auto"/>
        <w:right w:val="none" w:sz="0" w:space="0" w:color="auto"/>
      </w:divBdr>
    </w:div>
    <w:div w:id="1120804613">
      <w:bodyDiv w:val="1"/>
      <w:marLeft w:val="0"/>
      <w:marRight w:val="0"/>
      <w:marTop w:val="0"/>
      <w:marBottom w:val="0"/>
      <w:divBdr>
        <w:top w:val="none" w:sz="0" w:space="0" w:color="auto"/>
        <w:left w:val="none" w:sz="0" w:space="0" w:color="auto"/>
        <w:bottom w:val="none" w:sz="0" w:space="0" w:color="auto"/>
        <w:right w:val="none" w:sz="0" w:space="0" w:color="auto"/>
      </w:divBdr>
    </w:div>
    <w:div w:id="1165586456">
      <w:bodyDiv w:val="1"/>
      <w:marLeft w:val="0"/>
      <w:marRight w:val="0"/>
      <w:marTop w:val="0"/>
      <w:marBottom w:val="0"/>
      <w:divBdr>
        <w:top w:val="none" w:sz="0" w:space="0" w:color="auto"/>
        <w:left w:val="none" w:sz="0" w:space="0" w:color="auto"/>
        <w:bottom w:val="none" w:sz="0" w:space="0" w:color="auto"/>
        <w:right w:val="none" w:sz="0" w:space="0" w:color="auto"/>
      </w:divBdr>
    </w:div>
    <w:div w:id="1194465177">
      <w:bodyDiv w:val="1"/>
      <w:marLeft w:val="0"/>
      <w:marRight w:val="0"/>
      <w:marTop w:val="0"/>
      <w:marBottom w:val="0"/>
      <w:divBdr>
        <w:top w:val="none" w:sz="0" w:space="0" w:color="auto"/>
        <w:left w:val="none" w:sz="0" w:space="0" w:color="auto"/>
        <w:bottom w:val="none" w:sz="0" w:space="0" w:color="auto"/>
        <w:right w:val="none" w:sz="0" w:space="0" w:color="auto"/>
      </w:divBdr>
    </w:div>
    <w:div w:id="1308895929">
      <w:bodyDiv w:val="1"/>
      <w:marLeft w:val="0"/>
      <w:marRight w:val="0"/>
      <w:marTop w:val="0"/>
      <w:marBottom w:val="0"/>
      <w:divBdr>
        <w:top w:val="none" w:sz="0" w:space="0" w:color="auto"/>
        <w:left w:val="none" w:sz="0" w:space="0" w:color="auto"/>
        <w:bottom w:val="none" w:sz="0" w:space="0" w:color="auto"/>
        <w:right w:val="none" w:sz="0" w:space="0" w:color="auto"/>
      </w:divBdr>
    </w:div>
    <w:div w:id="1425767190">
      <w:bodyDiv w:val="1"/>
      <w:marLeft w:val="0"/>
      <w:marRight w:val="0"/>
      <w:marTop w:val="0"/>
      <w:marBottom w:val="0"/>
      <w:divBdr>
        <w:top w:val="none" w:sz="0" w:space="0" w:color="auto"/>
        <w:left w:val="none" w:sz="0" w:space="0" w:color="auto"/>
        <w:bottom w:val="none" w:sz="0" w:space="0" w:color="auto"/>
        <w:right w:val="none" w:sz="0" w:space="0" w:color="auto"/>
      </w:divBdr>
    </w:div>
    <w:div w:id="14469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esti.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t-EE"/>
  <c:chart>
    <c:autoTitleDeleted val="1"/>
    <c:plotArea>
      <c:layout>
        <c:manualLayout>
          <c:layoutTarget val="inner"/>
          <c:xMode val="edge"/>
          <c:yMode val="edge"/>
          <c:x val="4.5368620037819385E-2"/>
          <c:y val="5.1401869158878503E-2"/>
          <c:w val="0.92294633667422465"/>
          <c:h val="0.68224299065420713"/>
        </c:manualLayout>
      </c:layout>
      <c:lineChart>
        <c:grouping val="standard"/>
        <c:ser>
          <c:idx val="0"/>
          <c:order val="0"/>
          <c:tx>
            <c:strRef>
              <c:f>Sheet1!$B$1</c:f>
              <c:strCache>
                <c:ptCount val="1"/>
                <c:pt idx="0">
                  <c:v>SKP per capita (PPS*)</c:v>
                </c:pt>
              </c:strCache>
            </c:strRef>
          </c:tx>
          <c:spPr>
            <a:ln w="25388">
              <a:solidFill>
                <a:srgbClr val="FF0000"/>
              </a:solidFill>
              <a:prstDash val="solid"/>
            </a:ln>
          </c:spPr>
          <c:marker>
            <c:symbol val="circle"/>
            <c:size val="4"/>
            <c:spPr>
              <a:solidFill>
                <a:srgbClr val="FFFFFF"/>
              </a:solidFill>
              <a:ln>
                <a:solidFill>
                  <a:srgbClr val="FF0000"/>
                </a:solidFill>
                <a:prstDash val="solid"/>
              </a:ln>
            </c:spPr>
          </c:marker>
          <c:cat>
            <c:numRef>
              <c:f>Sheet1!$A$2:$A$21</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Sheet1!$B$2:$B$21</c:f>
              <c:numCache>
                <c:formatCode>General</c:formatCode>
                <c:ptCount val="19"/>
                <c:pt idx="0">
                  <c:v>38</c:v>
                </c:pt>
                <c:pt idx="1">
                  <c:v>42</c:v>
                </c:pt>
                <c:pt idx="2">
                  <c:v>42</c:v>
                </c:pt>
                <c:pt idx="3">
                  <c:v>42</c:v>
                </c:pt>
                <c:pt idx="4">
                  <c:v>45</c:v>
                </c:pt>
                <c:pt idx="5">
                  <c:v>46</c:v>
                </c:pt>
                <c:pt idx="6">
                  <c:v>48</c:v>
                </c:pt>
                <c:pt idx="7">
                  <c:v>52</c:v>
                </c:pt>
                <c:pt idx="8">
                  <c:v>55</c:v>
                </c:pt>
                <c:pt idx="9">
                  <c:v>60</c:v>
                </c:pt>
                <c:pt idx="10" formatCode="#,##0">
                  <c:v>64</c:v>
                </c:pt>
                <c:pt idx="11" formatCode="#,##0">
                  <c:v>68</c:v>
                </c:pt>
                <c:pt idx="12" formatCode="#,##0">
                  <c:v>68</c:v>
                </c:pt>
                <c:pt idx="13" formatCode="#,##0">
                  <c:v>62</c:v>
                </c:pt>
                <c:pt idx="14" formatCode="#,##0">
                  <c:v>63</c:v>
                </c:pt>
                <c:pt idx="15" formatCode="#,##0">
                  <c:v>69</c:v>
                </c:pt>
                <c:pt idx="16" formatCode="#,##0">
                  <c:v>74</c:v>
                </c:pt>
                <c:pt idx="17" formatCode="#,##0">
                  <c:v>75</c:v>
                </c:pt>
                <c:pt idx="18" formatCode="#,##0">
                  <c:v>76</c:v>
                </c:pt>
              </c:numCache>
            </c:numRef>
          </c:val>
          <c:smooth val="1"/>
        </c:ser>
        <c:ser>
          <c:idx val="1"/>
          <c:order val="1"/>
          <c:tx>
            <c:strRef>
              <c:f>Sheet1!$C$1</c:f>
              <c:strCache>
                <c:ptCount val="1"/>
                <c:pt idx="0">
                  <c:v>Tööjõu tootlikkus töötaja kohta</c:v>
                </c:pt>
              </c:strCache>
            </c:strRef>
          </c:tx>
          <c:spPr>
            <a:ln w="12694">
              <a:solidFill>
                <a:srgbClr val="000080"/>
              </a:solidFill>
              <a:prstDash val="solid"/>
            </a:ln>
          </c:spPr>
          <c:marker>
            <c:symbol val="none"/>
          </c:marker>
          <c:cat>
            <c:numRef>
              <c:f>Sheet1!$A$2:$A$21</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Sheet1!$C$2:$C$21</c:f>
              <c:numCache>
                <c:formatCode>General</c:formatCode>
                <c:ptCount val="19"/>
                <c:pt idx="0">
                  <c:v>36.4</c:v>
                </c:pt>
                <c:pt idx="1">
                  <c:v>39.9</c:v>
                </c:pt>
                <c:pt idx="2">
                  <c:v>41.4</c:v>
                </c:pt>
                <c:pt idx="3">
                  <c:v>43.2</c:v>
                </c:pt>
                <c:pt idx="4">
                  <c:v>47.2</c:v>
                </c:pt>
                <c:pt idx="5">
                  <c:v>48.4</c:v>
                </c:pt>
                <c:pt idx="6">
                  <c:v>51.3</c:v>
                </c:pt>
                <c:pt idx="7">
                  <c:v>52.6</c:v>
                </c:pt>
                <c:pt idx="8">
                  <c:v>55.7</c:v>
                </c:pt>
                <c:pt idx="9">
                  <c:v>58.8</c:v>
                </c:pt>
                <c:pt idx="10">
                  <c:v>60.7</c:v>
                </c:pt>
                <c:pt idx="11">
                  <c:v>65.400000000000006</c:v>
                </c:pt>
                <c:pt idx="12">
                  <c:v>65.099999999999994</c:v>
                </c:pt>
                <c:pt idx="13">
                  <c:v>65.2</c:v>
                </c:pt>
                <c:pt idx="14">
                  <c:v>69</c:v>
                </c:pt>
                <c:pt idx="15">
                  <c:v>70.400000000000006</c:v>
                </c:pt>
                <c:pt idx="16">
                  <c:v>73.2</c:v>
                </c:pt>
                <c:pt idx="17">
                  <c:v>72.8</c:v>
                </c:pt>
                <c:pt idx="18">
                  <c:v>73.8</c:v>
                </c:pt>
              </c:numCache>
            </c:numRef>
          </c:val>
          <c:smooth val="1"/>
        </c:ser>
        <c:ser>
          <c:idx val="2"/>
          <c:order val="2"/>
          <c:tx>
            <c:strRef>
              <c:f>Sheet1!$D$1</c:f>
              <c:strCache>
                <c:ptCount val="1"/>
                <c:pt idx="0">
                  <c:v>Hinnatase**</c:v>
                </c:pt>
              </c:strCache>
            </c:strRef>
          </c:tx>
          <c:spPr>
            <a:ln w="25388">
              <a:solidFill>
                <a:srgbClr val="CC99FF"/>
              </a:solidFill>
              <a:prstDash val="solid"/>
            </a:ln>
          </c:spPr>
          <c:marker>
            <c:symbol val="none"/>
          </c:marker>
          <c:cat>
            <c:numRef>
              <c:f>Sheet1!$A$2:$A$21</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Sheet1!$D$2:$D$21</c:f>
              <c:numCache>
                <c:formatCode>General</c:formatCode>
                <c:ptCount val="19"/>
                <c:pt idx="0">
                  <c:v>49.7</c:v>
                </c:pt>
                <c:pt idx="1">
                  <c:v>50.8</c:v>
                </c:pt>
                <c:pt idx="2">
                  <c:v>54.1</c:v>
                </c:pt>
                <c:pt idx="3">
                  <c:v>56.9</c:v>
                </c:pt>
                <c:pt idx="4">
                  <c:v>57.2</c:v>
                </c:pt>
                <c:pt idx="5">
                  <c:v>61.1</c:v>
                </c:pt>
                <c:pt idx="6">
                  <c:v>60.9</c:v>
                </c:pt>
                <c:pt idx="7">
                  <c:v>62.1</c:v>
                </c:pt>
                <c:pt idx="8">
                  <c:v>63.1</c:v>
                </c:pt>
                <c:pt idx="9">
                  <c:v>64.7</c:v>
                </c:pt>
                <c:pt idx="10">
                  <c:v>68.599999999999994</c:v>
                </c:pt>
                <c:pt idx="11">
                  <c:v>73.400000000000006</c:v>
                </c:pt>
                <c:pt idx="12">
                  <c:v>76.7</c:v>
                </c:pt>
                <c:pt idx="13">
                  <c:v>77.3</c:v>
                </c:pt>
                <c:pt idx="14">
                  <c:v>74.8</c:v>
                </c:pt>
                <c:pt idx="15">
                  <c:v>76</c:v>
                </c:pt>
                <c:pt idx="16">
                  <c:v>73.900000000000006</c:v>
                </c:pt>
                <c:pt idx="17">
                  <c:v>75.7</c:v>
                </c:pt>
                <c:pt idx="18">
                  <c:v>75.599999999999994</c:v>
                </c:pt>
              </c:numCache>
            </c:numRef>
          </c:val>
          <c:smooth val="1"/>
        </c:ser>
        <c:marker val="1"/>
        <c:axId val="63861120"/>
        <c:axId val="63862656"/>
      </c:lineChart>
      <c:catAx>
        <c:axId val="63861120"/>
        <c:scaling>
          <c:orientation val="minMax"/>
        </c:scaling>
        <c:axPos val="b"/>
        <c:majorGridlines>
          <c:spPr>
            <a:ln w="3173">
              <a:solidFill>
                <a:srgbClr val="000000"/>
              </a:solidFill>
              <a:prstDash val="sysDash"/>
            </a:ln>
          </c:spPr>
        </c:majorGridlines>
        <c:numFmt formatCode="General" sourceLinked="1"/>
        <c:tickLblPos val="nextTo"/>
        <c:spPr>
          <a:ln w="3173">
            <a:solidFill>
              <a:srgbClr val="000000"/>
            </a:solidFill>
            <a:prstDash val="solid"/>
          </a:ln>
        </c:spPr>
        <c:txPr>
          <a:bodyPr rot="0" vert="horz"/>
          <a:lstStyle/>
          <a:p>
            <a:pPr>
              <a:defRPr sz="950" b="0" i="0" u="none" strike="noStrike" baseline="0">
                <a:solidFill>
                  <a:srgbClr val="000000"/>
                </a:solidFill>
                <a:latin typeface="Garamond"/>
                <a:ea typeface="Garamond"/>
                <a:cs typeface="Garamond"/>
              </a:defRPr>
            </a:pPr>
            <a:endParaRPr lang="et-EE"/>
          </a:p>
        </c:txPr>
        <c:crossAx val="63862656"/>
        <c:crosses val="autoZero"/>
        <c:auto val="1"/>
        <c:lblAlgn val="ctr"/>
        <c:lblOffset val="100"/>
        <c:tickLblSkip val="1"/>
        <c:tickMarkSkip val="5"/>
      </c:catAx>
      <c:valAx>
        <c:axId val="63862656"/>
        <c:scaling>
          <c:orientation val="minMax"/>
          <c:max val="90"/>
          <c:min val="30"/>
        </c:scaling>
        <c:axPos val="l"/>
        <c:majorGridlines>
          <c:spPr>
            <a:ln w="3173">
              <a:solidFill>
                <a:srgbClr val="000000"/>
              </a:solidFill>
              <a:prstDash val="sysDash"/>
            </a:ln>
          </c:spPr>
        </c:majorGridlines>
        <c:minorGridlines>
          <c:spPr>
            <a:ln w="3173">
              <a:solidFill>
                <a:srgbClr val="000000"/>
              </a:solidFill>
              <a:prstDash val="sysDash"/>
            </a:ln>
          </c:spPr>
        </c:minorGridlines>
        <c:numFmt formatCode="General" sourceLinked="1"/>
        <c:majorTickMark val="in"/>
        <c:tickLblPos val="nextTo"/>
        <c:spPr>
          <a:ln w="3173">
            <a:solidFill>
              <a:srgbClr val="000000"/>
            </a:solidFill>
            <a:prstDash val="solid"/>
          </a:ln>
        </c:spPr>
        <c:txPr>
          <a:bodyPr rot="0" vert="horz"/>
          <a:lstStyle/>
          <a:p>
            <a:pPr>
              <a:defRPr sz="950" b="0" i="0" u="none" strike="noStrike" baseline="0">
                <a:solidFill>
                  <a:srgbClr val="000000"/>
                </a:solidFill>
                <a:latin typeface="Garamond"/>
                <a:ea typeface="Garamond"/>
                <a:cs typeface="Garamond"/>
              </a:defRPr>
            </a:pPr>
            <a:endParaRPr lang="et-EE"/>
          </a:p>
        </c:txPr>
        <c:crossAx val="63861120"/>
        <c:crosses val="autoZero"/>
        <c:crossBetween val="between"/>
        <c:majorUnit val="10"/>
        <c:minorUnit val="5"/>
      </c:valAx>
      <c:spPr>
        <a:noFill/>
        <a:ln w="3173">
          <a:solidFill>
            <a:srgbClr val="000000"/>
          </a:solidFill>
          <a:prstDash val="solid"/>
        </a:ln>
      </c:spPr>
    </c:plotArea>
    <c:legend>
      <c:legendPos val="b"/>
      <c:layout>
        <c:manualLayout>
          <c:xMode val="edge"/>
          <c:yMode val="edge"/>
          <c:x val="4.4564456770722433E-2"/>
          <c:y val="0.86662209867523265"/>
          <c:w val="0.92728957053197925"/>
          <c:h val="0.12149532710280374"/>
        </c:manualLayout>
      </c:layout>
      <c:spPr>
        <a:noFill/>
        <a:ln w="3175">
          <a:solidFill>
            <a:schemeClr val="tx1"/>
          </a:solidFill>
          <a:prstDash val="solid"/>
        </a:ln>
      </c:spPr>
      <c:txPr>
        <a:bodyPr/>
        <a:lstStyle/>
        <a:p>
          <a:pPr>
            <a:defRPr sz="920" b="0" i="0" u="none" strike="noStrike" baseline="0">
              <a:solidFill>
                <a:srgbClr val="000000"/>
              </a:solidFill>
              <a:latin typeface="Garamond"/>
              <a:ea typeface="Garamond"/>
              <a:cs typeface="Garamond"/>
            </a:defRPr>
          </a:pPr>
          <a:endParaRPr lang="et-EE"/>
        </a:p>
      </c:txPr>
    </c:legend>
    <c:plotVisOnly val="1"/>
    <c:dispBlanksAs val="gap"/>
  </c:chart>
  <c:spPr>
    <a:noFill/>
    <a:ln>
      <a:noFill/>
    </a:ln>
  </c:spPr>
  <c:txPr>
    <a:bodyPr/>
    <a:lstStyle/>
    <a:p>
      <a:pPr>
        <a:defRPr sz="1000" b="0" i="0" u="none" strike="noStrike" baseline="0">
          <a:solidFill>
            <a:srgbClr val="000000"/>
          </a:solidFill>
          <a:latin typeface="Garamond"/>
          <a:ea typeface="Garamond"/>
          <a:cs typeface="Garamond"/>
        </a:defRPr>
      </a:pPr>
      <a:endParaRPr lang="et-EE"/>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60586-DD86-4771-A1C5-5A290DAA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10010</Words>
  <Characters>80859</Characters>
  <Application>Microsoft Office Word</Application>
  <DocSecurity>0</DocSecurity>
  <Lines>673</Lines>
  <Paragraphs>181</Paragraphs>
  <ScaleCrop>false</ScaleCrop>
  <HeadingPairs>
    <vt:vector size="2" baseType="variant">
      <vt:variant>
        <vt:lpstr>Title</vt:lpstr>
      </vt:variant>
      <vt:variant>
        <vt:i4>1</vt:i4>
      </vt:variant>
    </vt:vector>
  </HeadingPairs>
  <TitlesOfParts>
    <vt:vector size="1" baseType="lpstr">
      <vt:lpstr>Koond ministeeriumide esialgsetest arvamustest Eesti seisukohtadeks EL2020 tööversiooni suhtes</vt:lpstr>
    </vt:vector>
  </TitlesOfParts>
  <Company>Riigikantselei</Company>
  <LinksUpToDate>false</LinksUpToDate>
  <CharactersWithSpaces>90688</CharactersWithSpaces>
  <SharedDoc>false</SharedDoc>
  <HLinks>
    <vt:vector size="6" baseType="variant">
      <vt:variant>
        <vt:i4>1966090</vt:i4>
      </vt:variant>
      <vt:variant>
        <vt:i4>0</vt:i4>
      </vt:variant>
      <vt:variant>
        <vt:i4>0</vt:i4>
      </vt:variant>
      <vt:variant>
        <vt:i4>5</vt:i4>
      </vt:variant>
      <vt:variant>
        <vt:lpwstr>http://www.eesti.ee/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Koond ministeeriumide esialgsetest arvamustest Eesti seisukohtadeks EL2020 tööversiooni suhtes</dc:title>
  <dc:creator>klask</dc:creator>
  <cp:lastModifiedBy>henryk</cp:lastModifiedBy>
  <cp:revision>8</cp:revision>
  <cp:lastPrinted>2013-04-05T12:49:00Z</cp:lastPrinted>
  <dcterms:created xsi:type="dcterms:W3CDTF">2016-04-27T07:39:00Z</dcterms:created>
  <dcterms:modified xsi:type="dcterms:W3CDTF">2016-05-05T08:46:00Z</dcterms:modified>
</cp:coreProperties>
</file>