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2B" w:rsidRDefault="00011A2B" w:rsidP="00011A2B">
      <w:pPr>
        <w:pStyle w:val="Heading1"/>
      </w:pPr>
      <w:r>
        <w:t>Hetkeolukorra ja suundumuste analüüsi vorm uue kodanikuühiskonna programmi sisendi kogumiseks</w:t>
      </w:r>
    </w:p>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122"/>
        <w:gridCol w:w="6940"/>
      </w:tblGrid>
      <w:tr w:rsidR="00011A2B" w:rsidTr="00D4456B">
        <w:tc>
          <w:tcPr>
            <w:tcW w:w="2122" w:type="dxa"/>
            <w:shd w:val="clear" w:color="auto" w:fill="DEEAF6" w:themeFill="accent1" w:themeFillTint="33"/>
          </w:tcPr>
          <w:p w:rsidR="00011A2B" w:rsidRPr="00E11A27" w:rsidRDefault="00011A2B" w:rsidP="00D4456B">
            <w:pPr>
              <w:rPr>
                <w:b/>
              </w:rPr>
            </w:pPr>
            <w:r w:rsidRPr="00E11A27">
              <w:rPr>
                <w:b/>
              </w:rPr>
              <w:t>Vormi täitmise eest vastutaja</w:t>
            </w:r>
          </w:p>
        </w:tc>
        <w:tc>
          <w:tcPr>
            <w:tcW w:w="6940" w:type="dxa"/>
          </w:tcPr>
          <w:p w:rsidR="00011A2B" w:rsidRDefault="00011A2B" w:rsidP="00D4456B">
            <w:pPr>
              <w:spacing w:before="120" w:after="120"/>
            </w:pPr>
            <w:r w:rsidRPr="00B61FF1">
              <w:rPr>
                <w:b/>
              </w:rPr>
              <w:t xml:space="preserve">1. Siseministeeriumi </w:t>
            </w:r>
            <w:r>
              <w:rPr>
                <w:b/>
              </w:rPr>
              <w:t>kodakondsus- ja rändepoliitika osakond</w:t>
            </w:r>
            <w:r>
              <w:t>.</w:t>
            </w:r>
          </w:p>
          <w:p w:rsidR="00011A2B" w:rsidRDefault="00011A2B" w:rsidP="00D4456B">
            <w:pPr>
              <w:spacing w:before="120" w:after="120"/>
            </w:pPr>
            <w:r w:rsidRPr="00B61FF1">
              <w:rPr>
                <w:b/>
              </w:rPr>
              <w:t>2. Valitsemisala asutused</w:t>
            </w:r>
            <w:r>
              <w:t xml:space="preserve"> (sh ka sisend olemasolevatest teemakohastest analüüsidest):</w:t>
            </w:r>
          </w:p>
          <w:p w:rsidR="00011A2B" w:rsidRDefault="00011A2B" w:rsidP="003C31F3">
            <w:pPr>
              <w:ind w:left="709"/>
              <w:contextualSpacing/>
            </w:pPr>
            <w:r w:rsidRPr="00B61FF1">
              <w:rPr>
                <w:b/>
              </w:rPr>
              <w:t>2.1</w:t>
            </w:r>
            <w:r w:rsidRPr="00187633">
              <w:rPr>
                <w:b/>
              </w:rPr>
              <w:t xml:space="preserve">. </w:t>
            </w:r>
            <w:r>
              <w:rPr>
                <w:b/>
              </w:rPr>
              <w:t>KÜSK (eraldi analüüsi ei koostata, kuid antakse sisendit SiM poliitikaosakondadele vastavalt kokkulepetele)</w:t>
            </w:r>
          </w:p>
        </w:tc>
      </w:tr>
      <w:tr w:rsidR="00011A2B" w:rsidTr="00D4456B">
        <w:tc>
          <w:tcPr>
            <w:tcW w:w="2122" w:type="dxa"/>
            <w:shd w:val="clear" w:color="auto" w:fill="DEEAF6" w:themeFill="accent1" w:themeFillTint="33"/>
          </w:tcPr>
          <w:p w:rsidR="00011A2B" w:rsidRPr="00E11A27" w:rsidRDefault="00011A2B" w:rsidP="00D4456B">
            <w:pPr>
              <w:rPr>
                <w:b/>
              </w:rPr>
            </w:pPr>
            <w:r>
              <w:rPr>
                <w:b/>
              </w:rPr>
              <w:t>Esitamise tähtajad</w:t>
            </w:r>
          </w:p>
        </w:tc>
        <w:tc>
          <w:tcPr>
            <w:tcW w:w="6940" w:type="dxa"/>
          </w:tcPr>
          <w:p w:rsidR="004A2AD3" w:rsidRPr="004A2AD3" w:rsidRDefault="004A2AD3" w:rsidP="004A2AD3">
            <w:r>
              <w:t xml:space="preserve">1. </w:t>
            </w:r>
            <w:r w:rsidRPr="004A2AD3">
              <w:t>11. mai EKAK ühiskomisjonile</w:t>
            </w:r>
          </w:p>
          <w:p w:rsidR="00011A2B" w:rsidRDefault="000628A5" w:rsidP="00D4456B">
            <w:r>
              <w:t>2. 11</w:t>
            </w:r>
            <w:r w:rsidR="004A2AD3">
              <w:t xml:space="preserve">. </w:t>
            </w:r>
            <w:r>
              <w:t>juuni</w:t>
            </w:r>
            <w:r w:rsidR="004A2AD3">
              <w:t xml:space="preserve"> tagasiside Siseministeeriumile</w:t>
            </w:r>
            <w:r w:rsidR="00011A2B">
              <w:t xml:space="preserve"> </w:t>
            </w:r>
          </w:p>
          <w:p w:rsidR="004A2AD3" w:rsidRDefault="000628A5" w:rsidP="00D4456B">
            <w:r>
              <w:t>3. 11. juul</w:t>
            </w:r>
            <w:bookmarkStart w:id="0" w:name="_GoBack"/>
            <w:bookmarkEnd w:id="0"/>
            <w:r w:rsidR="004A2AD3">
              <w:t>i lõplik dokumendi valmimine</w:t>
            </w:r>
          </w:p>
        </w:tc>
      </w:tr>
      <w:tr w:rsidR="00011A2B" w:rsidTr="00D4456B">
        <w:trPr>
          <w:trHeight w:val="775"/>
        </w:trPr>
        <w:tc>
          <w:tcPr>
            <w:tcW w:w="2122" w:type="dxa"/>
            <w:shd w:val="clear" w:color="auto" w:fill="DEEAF6" w:themeFill="accent1" w:themeFillTint="33"/>
          </w:tcPr>
          <w:p w:rsidR="00011A2B" w:rsidRDefault="00011A2B" w:rsidP="00D4456B">
            <w:pPr>
              <w:rPr>
                <w:b/>
              </w:rPr>
            </w:pPr>
            <w:r>
              <w:rPr>
                <w:b/>
              </w:rPr>
              <w:t>Koostöö SiM osakondade ja asutuste vahel</w:t>
            </w:r>
          </w:p>
        </w:tc>
        <w:tc>
          <w:tcPr>
            <w:tcW w:w="6940" w:type="dxa"/>
          </w:tcPr>
          <w:p w:rsidR="004A2AD3" w:rsidRDefault="004A2AD3" w:rsidP="00D4456B">
            <w:pPr>
              <w:jc w:val="both"/>
            </w:pPr>
          </w:p>
          <w:p w:rsidR="00011A2B" w:rsidRPr="00011A2B" w:rsidRDefault="00011A2B" w:rsidP="00D4456B">
            <w:pPr>
              <w:jc w:val="both"/>
              <w:rPr>
                <w:highlight w:val="yellow"/>
              </w:rPr>
            </w:pPr>
            <w:r w:rsidRPr="004A2AD3">
              <w:t xml:space="preserve">Leppida osapoolte vahel eraldi kokku. </w:t>
            </w:r>
          </w:p>
        </w:tc>
      </w:tr>
      <w:tr w:rsidR="00011A2B" w:rsidTr="00D4456B">
        <w:trPr>
          <w:trHeight w:val="775"/>
        </w:trPr>
        <w:tc>
          <w:tcPr>
            <w:tcW w:w="2122" w:type="dxa"/>
            <w:shd w:val="clear" w:color="auto" w:fill="DEEAF6" w:themeFill="accent1" w:themeFillTint="33"/>
          </w:tcPr>
          <w:p w:rsidR="00011A2B" w:rsidRPr="00E11A27" w:rsidRDefault="00011A2B" w:rsidP="00D4456B">
            <w:pPr>
              <w:rPr>
                <w:b/>
              </w:rPr>
            </w:pPr>
            <w:r>
              <w:rPr>
                <w:b/>
              </w:rPr>
              <w:t>Vormi täitmise koht</w:t>
            </w:r>
          </w:p>
        </w:tc>
        <w:tc>
          <w:tcPr>
            <w:tcW w:w="6940" w:type="dxa"/>
          </w:tcPr>
          <w:p w:rsidR="00011A2B" w:rsidRDefault="00011A2B" w:rsidP="00011A2B">
            <w:pPr>
              <w:jc w:val="both"/>
            </w:pPr>
            <w:r>
              <w:t>Vorm täita .docx formaadis.</w:t>
            </w:r>
          </w:p>
        </w:tc>
      </w:tr>
      <w:tr w:rsidR="00011A2B" w:rsidTr="00D4456B">
        <w:trPr>
          <w:trHeight w:val="1177"/>
        </w:trPr>
        <w:tc>
          <w:tcPr>
            <w:tcW w:w="2122" w:type="dxa"/>
            <w:shd w:val="clear" w:color="auto" w:fill="DEEAF6" w:themeFill="accent1" w:themeFillTint="33"/>
          </w:tcPr>
          <w:p w:rsidR="00011A2B" w:rsidRPr="00E11A27" w:rsidRDefault="00011A2B" w:rsidP="00D4456B">
            <w:pPr>
              <w:rPr>
                <w:b/>
              </w:rPr>
            </w:pPr>
            <w:r>
              <w:rPr>
                <w:b/>
              </w:rPr>
              <w:t>Nimekiri erinevatest olemasolevatest taustamaterjalidest, mis toetavad vormi täitmist</w:t>
            </w:r>
          </w:p>
        </w:tc>
        <w:tc>
          <w:tcPr>
            <w:tcW w:w="6940" w:type="dxa"/>
          </w:tcPr>
          <w:p w:rsidR="00011A2B" w:rsidRDefault="00D4456B" w:rsidP="00D4456B">
            <w:pPr>
              <w:jc w:val="both"/>
            </w:pPr>
            <w:r>
              <w:t>Kodanikuühiskonna v</w:t>
            </w:r>
            <w:r w:rsidR="00CA0303">
              <w:t>isiooni seminaride kokkuvõtted, ühiskonna trendide analüüs, vabatahtliku tegevuse uuring 2013, kodanikuühiskonna institutsionaliseerumise uuring 2014.</w:t>
            </w:r>
          </w:p>
        </w:tc>
      </w:tr>
      <w:tr w:rsidR="00011A2B" w:rsidTr="00D4456B">
        <w:trPr>
          <w:trHeight w:val="1177"/>
        </w:trPr>
        <w:tc>
          <w:tcPr>
            <w:tcW w:w="2122" w:type="dxa"/>
            <w:shd w:val="clear" w:color="auto" w:fill="DEEAF6" w:themeFill="accent1" w:themeFillTint="33"/>
          </w:tcPr>
          <w:p w:rsidR="00011A2B" w:rsidRPr="00E11A27" w:rsidRDefault="00011A2B" w:rsidP="00D4456B">
            <w:pPr>
              <w:rPr>
                <w:b/>
              </w:rPr>
            </w:pPr>
            <w:r w:rsidRPr="00E11A27">
              <w:rPr>
                <w:b/>
              </w:rPr>
              <w:t>Vormi sisu kasutamise selgitus</w:t>
            </w:r>
          </w:p>
        </w:tc>
        <w:tc>
          <w:tcPr>
            <w:tcW w:w="6940" w:type="dxa"/>
          </w:tcPr>
          <w:p w:rsidR="00011A2B" w:rsidRDefault="00011A2B" w:rsidP="00CA0303">
            <w:pPr>
              <w:jc w:val="both"/>
            </w:pPr>
            <w:r>
              <w:t>Uue</w:t>
            </w:r>
            <w:r w:rsidR="00CA0303">
              <w:t xml:space="preserve"> kodanikuühiskonna programmi </w:t>
            </w:r>
            <w:r>
              <w:t xml:space="preserve">koostamisel eesmärkide seadmiseks. Täidetud vormist teeb </w:t>
            </w:r>
            <w:r w:rsidR="00CA0303">
              <w:t>KRPO</w:t>
            </w:r>
            <w:r>
              <w:t xml:space="preserve"> vajalikud väljavõtted </w:t>
            </w:r>
            <w:r w:rsidR="00CA0303">
              <w:t>programmi lõppteksti</w:t>
            </w:r>
            <w:r>
              <w:t xml:space="preserve"> jaoks. Kohandatud taustaanalüüse on soovi korral võimalik ka hiljem avaldada </w:t>
            </w:r>
            <w:r w:rsidR="00CA0303">
              <w:t xml:space="preserve">kodanikuühiskonna </w:t>
            </w:r>
            <w:r>
              <w:t>lisamaterjalin</w:t>
            </w:r>
            <w:r w:rsidR="00CA0303">
              <w:t>a</w:t>
            </w:r>
            <w:r>
              <w:t xml:space="preserve"> kodulehel.</w:t>
            </w:r>
          </w:p>
        </w:tc>
      </w:tr>
    </w:tbl>
    <w:p w:rsidR="00011A2B" w:rsidRDefault="00011A2B" w:rsidP="00011A2B">
      <w:pPr>
        <w:pStyle w:val="Heading2"/>
      </w:pPr>
      <w:r>
        <w:t xml:space="preserve">1. Alavaldkonda mõjutavad tegevuskeskkonna tegurid ja nende suundumused </w:t>
      </w:r>
      <w:r w:rsidRPr="00020F9B">
        <w:t>(täidab: poliitikaosakond</w:t>
      </w:r>
      <w:r>
        <w:t>, asutus</w:t>
      </w:r>
      <w:r w:rsidRPr="00020F9B">
        <w:t>)</w:t>
      </w:r>
    </w:p>
    <w:p w:rsidR="00011A2B" w:rsidRDefault="00011A2B" w:rsidP="00011A2B">
      <w:pPr>
        <w:spacing w:line="240" w:lineRule="auto"/>
        <w:jc w:val="both"/>
      </w:pPr>
      <w:r w:rsidRPr="00EE69B8">
        <w:rPr>
          <w:b/>
        </w:rPr>
        <w:t>Peatüki selgitus:</w:t>
      </w:r>
      <w:r>
        <w:t xml:space="preserve"> Peatüki all analüüsitakse, millised tegevuskeskkonna tegurid ja nende suundumused mõjutavad </w:t>
      </w:r>
      <w:r w:rsidR="004A2AD3">
        <w:t>kodanikuühiskonna valdkonda</w:t>
      </w:r>
      <w:r>
        <w:t xml:space="preserve"> kõige enam; tuuakse välja tegevuskeskkonna teguritega seonduv statistika ja antakse hinnang ehk prognoositakse eri tegurite suundumusi 10 aasta perspektiivis.</w:t>
      </w:r>
    </w:p>
    <w:p w:rsidR="00011A2B" w:rsidRDefault="00011A2B" w:rsidP="00011A2B">
      <w:pPr>
        <w:spacing w:line="240" w:lineRule="auto"/>
        <w:jc w:val="both"/>
      </w:pPr>
      <w:r>
        <w:t>Tegevuskeskkonna tegurite ja suundum</w:t>
      </w:r>
      <w:r w:rsidR="00F3616B">
        <w:t xml:space="preserve">uste analüüsimisel arvestatakse </w:t>
      </w:r>
      <w:r w:rsidRPr="00483FE5">
        <w:rPr>
          <w:b/>
          <w:u w:val="single"/>
        </w:rPr>
        <w:t xml:space="preserve">hetkel kehtiva </w:t>
      </w:r>
      <w:r w:rsidR="004A2AD3">
        <w:rPr>
          <w:b/>
          <w:u w:val="single"/>
        </w:rPr>
        <w:t>kodanikuühiskonna</w:t>
      </w:r>
      <w:r w:rsidRPr="00483FE5">
        <w:rPr>
          <w:b/>
          <w:u w:val="single"/>
        </w:rPr>
        <w:t xml:space="preserve"> arengukava</w:t>
      </w:r>
      <w:r w:rsidR="004F1008">
        <w:rPr>
          <w:rStyle w:val="FootnoteReference"/>
          <w:b/>
          <w:u w:val="single"/>
        </w:rPr>
        <w:footnoteReference w:id="1"/>
      </w:r>
      <w:r w:rsidRPr="00483FE5">
        <w:rPr>
          <w:b/>
          <w:u w:val="single"/>
        </w:rPr>
        <w:t xml:space="preserve"> </w:t>
      </w:r>
      <w:r w:rsidR="00F3616B">
        <w:rPr>
          <w:b/>
          <w:u w:val="single"/>
        </w:rPr>
        <w:t>ja Eesti kodanikuühiskonna arengu kontseptsiooni</w:t>
      </w:r>
      <w:r w:rsidR="00F3616B">
        <w:rPr>
          <w:rStyle w:val="FootnoteReference"/>
          <w:b/>
          <w:u w:val="single"/>
        </w:rPr>
        <w:footnoteReference w:id="2"/>
      </w:r>
      <w:r w:rsidR="00F3616B">
        <w:rPr>
          <w:b/>
          <w:u w:val="single"/>
        </w:rPr>
        <w:t xml:space="preserve"> </w:t>
      </w:r>
      <w:r w:rsidRPr="00483FE5">
        <w:rPr>
          <w:b/>
          <w:u w:val="single"/>
        </w:rPr>
        <w:t>põhimõtetega</w:t>
      </w:r>
      <w:r>
        <w:t>, mis on toodud järgnevalt.</w:t>
      </w:r>
    </w:p>
    <w:p w:rsidR="00011A2B" w:rsidRDefault="004F1008" w:rsidP="00011A2B">
      <w:pPr>
        <w:spacing w:line="240" w:lineRule="auto"/>
        <w:jc w:val="both"/>
      </w:pPr>
      <w:r>
        <w:lastRenderedPageBreak/>
        <w:t xml:space="preserve">Kodanikuühiskonna arengukava üldeesmärk on tegutsemisvõimekad kodanikuühendused ja ühiskondlikult aktiivsed elanikud. </w:t>
      </w:r>
      <w:r w:rsidR="00F3616B" w:rsidRPr="00F3616B">
        <w:t>Kodanikeühenduste ja avaliku võimu esindajad lähtuvad oma koostöös alljärgnevaist põhimõtetest ja väärtustest.</w:t>
      </w:r>
    </w:p>
    <w:p w:rsidR="00011A2B" w:rsidRDefault="00F3616B" w:rsidP="00E05749">
      <w:pPr>
        <w:pStyle w:val="ListParagraph"/>
        <w:numPr>
          <w:ilvl w:val="0"/>
          <w:numId w:val="2"/>
        </w:numPr>
        <w:spacing w:line="240" w:lineRule="auto"/>
        <w:jc w:val="both"/>
      </w:pPr>
      <w:r>
        <w:rPr>
          <w:b/>
        </w:rPr>
        <w:t>k</w:t>
      </w:r>
      <w:r w:rsidRPr="00F3616B">
        <w:rPr>
          <w:b/>
        </w:rPr>
        <w:t>odanikuaktiivus</w:t>
      </w:r>
      <w:r>
        <w:t xml:space="preserve"> - Kodanikuaktiivsus kui inimeste omaalgatuslik ja vabatahtlik osalemine ühiskonnaelus ning oma paikkonna elu küsimuste lahendamises on demokraatliku ühiskonnakorralduse oluline koostisosa. Avalik võim toetab seda soodsa õigusliku keskkonna loomisega, elanikkonna teavitamisega oma tegevusest ning kodanike ja nende ühenduste kaasamisega otsuste kavandamisse ja teostamisse.</w:t>
      </w:r>
    </w:p>
    <w:p w:rsidR="00F3616B" w:rsidRDefault="00F3616B" w:rsidP="00F3616B">
      <w:pPr>
        <w:pStyle w:val="ListParagraph"/>
        <w:numPr>
          <w:ilvl w:val="0"/>
          <w:numId w:val="2"/>
        </w:numPr>
        <w:spacing w:line="240" w:lineRule="auto"/>
        <w:jc w:val="both"/>
      </w:pPr>
      <w:r w:rsidRPr="00F3616B">
        <w:rPr>
          <w:b/>
        </w:rPr>
        <w:t>osalus</w:t>
      </w:r>
      <w:r>
        <w:rPr>
          <w:b/>
        </w:rPr>
        <w:t xml:space="preserve"> </w:t>
      </w:r>
      <w:r>
        <w:t>- Kodanikeühendused on ühiskonnas käibivate erinevate arusaamade ja huvide esindamise kanaleiks, mille kaudu kodanikud saavad teavet ja avaldavad arvamust kavandatavate otsuste kohta. Kui poliitiliste otsuste langetajad peavad dialoogi üldsusega ja arvestavad avalikus arutelus esitatud ettepanekuid, suureneb üldise kompetentsuse määr ja tugevneb riigi legitiimsus.</w:t>
      </w:r>
    </w:p>
    <w:p w:rsidR="00F3616B" w:rsidRDefault="00F3616B" w:rsidP="00F3616B">
      <w:pPr>
        <w:pStyle w:val="ListParagraph"/>
        <w:numPr>
          <w:ilvl w:val="0"/>
          <w:numId w:val="2"/>
        </w:numPr>
        <w:spacing w:line="240" w:lineRule="auto"/>
        <w:jc w:val="both"/>
      </w:pPr>
      <w:r>
        <w:rPr>
          <w:b/>
        </w:rPr>
        <w:t>a</w:t>
      </w:r>
      <w:r w:rsidRPr="00F3616B">
        <w:rPr>
          <w:b/>
        </w:rPr>
        <w:t>ustus</w:t>
      </w:r>
      <w:r>
        <w:rPr>
          <w:b/>
        </w:rPr>
        <w:t xml:space="preserve"> - </w:t>
      </w:r>
      <w:r>
        <w:t>Kodanikualgatusel ja avalikul võimul on poliitikate kujundamisel ja teostamisel erinev, vastastikku täiendav roll. Avalik võim austab kodanike ja nende ühenduste õigust asetada endale ise eesmärke ja juhtida oma tegevust põhiseadusliku korra raames.</w:t>
      </w:r>
    </w:p>
    <w:p w:rsidR="00F3616B" w:rsidRPr="00F3616B" w:rsidRDefault="00F3616B" w:rsidP="00F3616B">
      <w:pPr>
        <w:pStyle w:val="ListParagraph"/>
        <w:numPr>
          <w:ilvl w:val="0"/>
          <w:numId w:val="2"/>
        </w:numPr>
        <w:spacing w:line="240" w:lineRule="auto"/>
        <w:jc w:val="both"/>
      </w:pPr>
      <w:r>
        <w:rPr>
          <w:b/>
        </w:rPr>
        <w:t xml:space="preserve">partnerlus - </w:t>
      </w:r>
      <w:r>
        <w:t>Kodanikeühenduste ja avaliku võimu partnerlus võimaldab otstarbekat koostööd ning ülesannete jaotust avalike huvide paremaks järgimiseks.</w:t>
      </w:r>
    </w:p>
    <w:p w:rsidR="00F3616B" w:rsidRPr="00F3616B" w:rsidRDefault="00F3616B" w:rsidP="00F3616B">
      <w:pPr>
        <w:pStyle w:val="ListParagraph"/>
        <w:numPr>
          <w:ilvl w:val="0"/>
          <w:numId w:val="2"/>
        </w:numPr>
        <w:spacing w:line="240" w:lineRule="auto"/>
        <w:jc w:val="both"/>
      </w:pPr>
      <w:r w:rsidRPr="00F3616B">
        <w:rPr>
          <w:b/>
        </w:rPr>
        <w:t>vastutus ja aruandmiskohustus</w:t>
      </w:r>
      <w:r>
        <w:rPr>
          <w:b/>
        </w:rPr>
        <w:t xml:space="preserve"> - </w:t>
      </w:r>
      <w:r>
        <w:t>Avalikes huvides tegutsemine nõuab nii kodanikeühendustelt kui avaliku võimu institutsioonidelt avatust, vastutustunnet ja aruandlusvalmidust oma tegevuse ja selleks kulutatavate vahendite kasutamise kohta.</w:t>
      </w:r>
    </w:p>
    <w:p w:rsidR="00F3616B" w:rsidRPr="00F3616B" w:rsidRDefault="00F3616B" w:rsidP="00F3616B">
      <w:pPr>
        <w:pStyle w:val="ListParagraph"/>
        <w:numPr>
          <w:ilvl w:val="0"/>
          <w:numId w:val="2"/>
        </w:numPr>
        <w:spacing w:line="240" w:lineRule="auto"/>
        <w:jc w:val="both"/>
      </w:pPr>
      <w:r w:rsidRPr="00F3616B">
        <w:rPr>
          <w:b/>
        </w:rPr>
        <w:t>kodanikualgatuse poliitiline sõltumatus</w:t>
      </w:r>
      <w:r>
        <w:rPr>
          <w:b/>
        </w:rPr>
        <w:t xml:space="preserve"> - </w:t>
      </w:r>
      <w:r>
        <w:t>Kodanikeühendused on oma eesmärgiseadmistes, otsustes ja tegevuses seaduse piires vabad ja sõltumatud. Kodanikualgatuse toetamise korral avaliku sektori eelarvetest ja fondidest välditakse poliitilise iseloomuga piiranguid.</w:t>
      </w:r>
    </w:p>
    <w:p w:rsidR="00F3616B" w:rsidRPr="00F3616B" w:rsidRDefault="00F3616B" w:rsidP="00F3616B">
      <w:pPr>
        <w:pStyle w:val="ListParagraph"/>
        <w:numPr>
          <w:ilvl w:val="0"/>
          <w:numId w:val="2"/>
        </w:numPr>
        <w:spacing w:line="240" w:lineRule="auto"/>
        <w:jc w:val="both"/>
      </w:pPr>
      <w:r w:rsidRPr="00F3616B">
        <w:rPr>
          <w:b/>
        </w:rPr>
        <w:t>korruptiivsuse vältimine</w:t>
      </w:r>
      <w:r>
        <w:rPr>
          <w:b/>
        </w:rPr>
        <w:t xml:space="preserve"> - </w:t>
      </w:r>
      <w:r>
        <w:t>Avaliku võimu organite lepinguliste koostööpartnerite valikul kodanikeühenduste hulgast ja avalike teenuste osutamise ning muude ülesannete delegeerimisel kodanikeühendustele välditakse korruptsiooni võimaldavaid suhteid.</w:t>
      </w:r>
    </w:p>
    <w:p w:rsidR="00F3616B" w:rsidRPr="00F3616B" w:rsidRDefault="00F3616B" w:rsidP="00F3616B">
      <w:pPr>
        <w:pStyle w:val="ListParagraph"/>
        <w:numPr>
          <w:ilvl w:val="0"/>
          <w:numId w:val="2"/>
        </w:numPr>
        <w:spacing w:line="240" w:lineRule="auto"/>
        <w:jc w:val="both"/>
      </w:pPr>
      <w:r w:rsidRPr="00F3616B">
        <w:rPr>
          <w:b/>
        </w:rPr>
        <w:t>säästev ja tasakaalustatud areng</w:t>
      </w:r>
      <w:r>
        <w:rPr>
          <w:b/>
        </w:rPr>
        <w:t xml:space="preserve"> - </w:t>
      </w:r>
      <w:r>
        <w:t>Kodanikeühendused ja avaliku võimu organid lähtuvad oma tegevuses ja omavahelises koostöös säästva ja tasakaalustatud arengu põhimõttest.</w:t>
      </w:r>
    </w:p>
    <w:p w:rsidR="00011A2B" w:rsidRPr="00EE69B8" w:rsidRDefault="00F3616B" w:rsidP="00C910FE">
      <w:pPr>
        <w:pStyle w:val="ListParagraph"/>
        <w:numPr>
          <w:ilvl w:val="0"/>
          <w:numId w:val="2"/>
        </w:numPr>
        <w:spacing w:line="240" w:lineRule="auto"/>
        <w:jc w:val="both"/>
      </w:pPr>
      <w:r w:rsidRPr="00F3616B">
        <w:rPr>
          <w:b/>
        </w:rPr>
        <w:t>võrdne kohtlemine</w:t>
      </w:r>
      <w:r>
        <w:rPr>
          <w:b/>
        </w:rPr>
        <w:t xml:space="preserve"> - </w:t>
      </w:r>
      <w:r>
        <w:t>Kodanikeühendused ja avaliku võimu organid austavad kõigi kodanike ja nende ühenduste põhimõttelist võrdsust ligipääsul ühiskonnaelus osalemise võimalustele.</w:t>
      </w:r>
    </w:p>
    <w:p w:rsidR="00011A2B" w:rsidRPr="00255814" w:rsidRDefault="00011A2B" w:rsidP="00011A2B">
      <w:pPr>
        <w:pStyle w:val="Heading2"/>
        <w:numPr>
          <w:ilvl w:val="1"/>
          <w:numId w:val="3"/>
        </w:numPr>
      </w:pPr>
      <w:r w:rsidRPr="00255814">
        <w:lastRenderedPageBreak/>
        <w:t>Alavaldkonda mõjutavate tegevuskeskkonna tegurite ja nende suundumuste</w:t>
      </w:r>
      <w:r>
        <w:t xml:space="preserve"> ehk trendide</w:t>
      </w:r>
      <w:r w:rsidRPr="00255814">
        <w:t xml:space="preserve"> nimekirja koostamine</w:t>
      </w:r>
    </w:p>
    <w:p w:rsidR="00011A2B" w:rsidRPr="00255814" w:rsidRDefault="00011A2B" w:rsidP="00011A2B">
      <w:pPr>
        <w:pStyle w:val="Caption"/>
        <w:keepNext/>
        <w:jc w:val="both"/>
        <w:rPr>
          <w:sz w:val="22"/>
          <w:szCs w:val="22"/>
        </w:rPr>
      </w:pPr>
      <w:r>
        <w:rPr>
          <w:i w:val="0"/>
          <w:noProof/>
          <w:lang w:eastAsia="et-EE"/>
        </w:rPr>
        <w:drawing>
          <wp:anchor distT="0" distB="0" distL="114300" distR="114300" simplePos="0" relativeHeight="251659264" behindDoc="0" locked="0" layoutInCell="1" allowOverlap="1" wp14:anchorId="026CF6AD" wp14:editId="293FF2DC">
            <wp:simplePos x="0" y="0"/>
            <wp:positionH relativeFrom="column">
              <wp:posOffset>-471170</wp:posOffset>
            </wp:positionH>
            <wp:positionV relativeFrom="paragraph">
              <wp:posOffset>434975</wp:posOffset>
            </wp:positionV>
            <wp:extent cx="6810375" cy="2390775"/>
            <wp:effectExtent l="0" t="0" r="9525" b="0"/>
            <wp:wrapThrough wrapText="bothSides">
              <wp:wrapPolygon edited="0">
                <wp:start x="5015" y="2237"/>
                <wp:lineTo x="846" y="2582"/>
                <wp:lineTo x="604" y="2754"/>
                <wp:lineTo x="544" y="19449"/>
                <wp:lineTo x="21570" y="19449"/>
                <wp:lineTo x="21570" y="2237"/>
                <wp:lineTo x="5015" y="2237"/>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A46CB0">
        <w:rPr>
          <w:sz w:val="22"/>
          <w:szCs w:val="22"/>
        </w:rPr>
        <w:t xml:space="preserve">Joonis </w:t>
      </w:r>
      <w:r>
        <w:rPr>
          <w:sz w:val="22"/>
          <w:szCs w:val="22"/>
        </w:rPr>
        <w:t>1</w:t>
      </w:r>
      <w:r w:rsidRPr="00A46CB0">
        <w:rPr>
          <w:sz w:val="22"/>
          <w:szCs w:val="22"/>
        </w:rPr>
        <w:t xml:space="preserve">: </w:t>
      </w:r>
      <w:r>
        <w:rPr>
          <w:sz w:val="22"/>
          <w:szCs w:val="22"/>
        </w:rPr>
        <w:t>Võimalikud t</w:t>
      </w:r>
      <w:r w:rsidRPr="00A46CB0">
        <w:rPr>
          <w:sz w:val="22"/>
          <w:szCs w:val="22"/>
        </w:rPr>
        <w:t xml:space="preserve">egevuskeskkonna </w:t>
      </w:r>
      <w:r>
        <w:rPr>
          <w:sz w:val="22"/>
          <w:szCs w:val="22"/>
        </w:rPr>
        <w:t xml:space="preserve">5 </w:t>
      </w:r>
      <w:r w:rsidRPr="00A46CB0">
        <w:rPr>
          <w:sz w:val="22"/>
          <w:szCs w:val="22"/>
        </w:rPr>
        <w:t>analüüsivaldkon</w:t>
      </w:r>
      <w:r>
        <w:rPr>
          <w:sz w:val="22"/>
          <w:szCs w:val="22"/>
        </w:rPr>
        <w:t>da, millest kitsamate tegurite valimisel lähtuda võiks (aluseks PESTLE analüüsi loogika, mida kohandatud)</w:t>
      </w:r>
      <w:r>
        <w:rPr>
          <w:rStyle w:val="FootnoteReference"/>
          <w:sz w:val="22"/>
          <w:szCs w:val="22"/>
        </w:rPr>
        <w:footnoteReference w:id="3"/>
      </w:r>
    </w:p>
    <w:p w:rsidR="00011A2B" w:rsidRDefault="00011A2B" w:rsidP="00011A2B"/>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9062"/>
      </w:tblGrid>
      <w:tr w:rsidR="00011A2B" w:rsidTr="00D4456B">
        <w:tc>
          <w:tcPr>
            <w:tcW w:w="9062" w:type="dxa"/>
            <w:shd w:val="clear" w:color="auto" w:fill="DEEAF6" w:themeFill="accent1" w:themeFillTint="33"/>
          </w:tcPr>
          <w:p w:rsidR="00011A2B" w:rsidRDefault="00011A2B" w:rsidP="00D4456B">
            <w:pPr>
              <w:jc w:val="both"/>
            </w:pPr>
            <w:r w:rsidRPr="00255814">
              <w:rPr>
                <w:b/>
              </w:rPr>
              <w:t>Koosta nimekiri alavaldkonda mõjutavatest tegevuskeskkonna teguritest</w:t>
            </w:r>
            <w:r>
              <w:rPr>
                <w:b/>
              </w:rPr>
              <w:t>/nende suundumustest ehk trendidest. Selle jaoks võta arvesse joonisel 1 toodud näidist, kuid tegureid tohib vastavalt vajadusele muuta ja täpsustada. Nimekiri ei pea katma kõiki viit analüüsivaldkonda!</w:t>
            </w:r>
            <w:r w:rsidRPr="00255814">
              <w:t xml:space="preserve"> </w:t>
            </w:r>
          </w:p>
          <w:p w:rsidR="00011A2B" w:rsidRPr="00255814" w:rsidRDefault="00011A2B" w:rsidP="00D4456B">
            <w:pPr>
              <w:jc w:val="both"/>
              <w:rPr>
                <w:b/>
              </w:rPr>
            </w:pPr>
            <w:r w:rsidRPr="00255814">
              <w:t>(Nimekirja koostamise lihtsustamiseks on soovituslik oma struktuuriüksuses läbi viia arutelu.)</w:t>
            </w:r>
          </w:p>
        </w:tc>
      </w:tr>
      <w:tr w:rsidR="00011A2B" w:rsidTr="00D4456B">
        <w:tc>
          <w:tcPr>
            <w:tcW w:w="9062" w:type="dxa"/>
            <w:shd w:val="clear" w:color="auto" w:fill="auto"/>
          </w:tcPr>
          <w:p w:rsidR="00011A2B" w:rsidRDefault="00011A2B" w:rsidP="00011A2B">
            <w:pPr>
              <w:pStyle w:val="ListParagraph"/>
              <w:numPr>
                <w:ilvl w:val="0"/>
                <w:numId w:val="4"/>
              </w:numPr>
              <w:spacing w:after="0" w:line="240" w:lineRule="auto"/>
              <w:jc w:val="both"/>
              <w:rPr>
                <w:i/>
              </w:rPr>
            </w:pPr>
            <w:r>
              <w:rPr>
                <w:i/>
              </w:rPr>
              <w:t xml:space="preserve">Siseriiklikud prioriteedid </w:t>
            </w:r>
            <w:r w:rsidR="00030117">
              <w:rPr>
                <w:i/>
              </w:rPr>
              <w:t>kodanikuühiskonna arendamisel</w:t>
            </w:r>
          </w:p>
          <w:p w:rsidR="00011A2B" w:rsidRPr="00030117" w:rsidRDefault="00011A2B" w:rsidP="00D433DD">
            <w:pPr>
              <w:pStyle w:val="ListParagraph"/>
              <w:numPr>
                <w:ilvl w:val="0"/>
                <w:numId w:val="4"/>
              </w:numPr>
              <w:spacing w:after="0" w:line="240" w:lineRule="auto"/>
              <w:jc w:val="both"/>
              <w:rPr>
                <w:i/>
              </w:rPr>
            </w:pPr>
            <w:r w:rsidRPr="00030117">
              <w:rPr>
                <w:i/>
              </w:rPr>
              <w:t>Rahvusvahelised nõuded, reeglid ja suundumused</w:t>
            </w:r>
          </w:p>
          <w:p w:rsidR="00011A2B" w:rsidRDefault="00011A2B" w:rsidP="00011A2B">
            <w:pPr>
              <w:pStyle w:val="ListParagraph"/>
              <w:numPr>
                <w:ilvl w:val="0"/>
                <w:numId w:val="4"/>
              </w:numPr>
              <w:spacing w:after="0" w:line="240" w:lineRule="auto"/>
              <w:jc w:val="both"/>
              <w:rPr>
                <w:i/>
              </w:rPr>
            </w:pPr>
            <w:r>
              <w:rPr>
                <w:i/>
              </w:rPr>
              <w:t xml:space="preserve">IKT </w:t>
            </w:r>
            <w:r w:rsidR="00030117">
              <w:rPr>
                <w:i/>
              </w:rPr>
              <w:t>suurenev roll</w:t>
            </w:r>
          </w:p>
          <w:p w:rsidR="00011A2B" w:rsidRDefault="00011A2B" w:rsidP="00011A2B">
            <w:pPr>
              <w:pStyle w:val="ListParagraph"/>
              <w:numPr>
                <w:ilvl w:val="0"/>
                <w:numId w:val="4"/>
              </w:numPr>
              <w:spacing w:after="0" w:line="240" w:lineRule="auto"/>
              <w:jc w:val="both"/>
              <w:rPr>
                <w:i/>
              </w:rPr>
            </w:pPr>
            <w:r>
              <w:rPr>
                <w:i/>
              </w:rPr>
              <w:t>Üha rohkem töökohti ei sõltu asukohast</w:t>
            </w:r>
          </w:p>
          <w:p w:rsidR="00011A2B" w:rsidRDefault="00030117" w:rsidP="00011A2B">
            <w:pPr>
              <w:pStyle w:val="ListParagraph"/>
              <w:numPr>
                <w:ilvl w:val="0"/>
                <w:numId w:val="4"/>
              </w:numPr>
              <w:spacing w:after="0" w:line="240" w:lineRule="auto"/>
              <w:jc w:val="both"/>
              <w:rPr>
                <w:i/>
              </w:rPr>
            </w:pPr>
            <w:r>
              <w:rPr>
                <w:i/>
              </w:rPr>
              <w:t xml:space="preserve">Kodanikuühenduste töö ja omavaheline suhtlus </w:t>
            </w:r>
            <w:r w:rsidR="00011A2B" w:rsidRPr="00104879">
              <w:rPr>
                <w:i/>
              </w:rPr>
              <w:t>inimeste üha kasvava mobiilsuse valguses</w:t>
            </w:r>
            <w:r w:rsidR="00011A2B" w:rsidRPr="00104879">
              <w:rPr>
                <w:rStyle w:val="CommentReference"/>
                <w:i/>
              </w:rPr>
              <w:t xml:space="preserve"> </w:t>
            </w:r>
          </w:p>
          <w:p w:rsidR="00011A2B" w:rsidRPr="00766C17" w:rsidRDefault="00011A2B" w:rsidP="00011A2B">
            <w:pPr>
              <w:pStyle w:val="ListParagraph"/>
              <w:numPr>
                <w:ilvl w:val="0"/>
                <w:numId w:val="4"/>
              </w:numPr>
              <w:spacing w:after="0" w:line="240" w:lineRule="auto"/>
              <w:jc w:val="both"/>
              <w:rPr>
                <w:i/>
              </w:rPr>
            </w:pPr>
            <w:r>
              <w:rPr>
                <w:i/>
              </w:rPr>
              <w:t>Inimeste parem oskus kasutada IKT-d</w:t>
            </w:r>
            <w:r w:rsidR="00030117">
              <w:rPr>
                <w:i/>
              </w:rPr>
              <w:t xml:space="preserve"> ja info usaldusväärsuse küsimus</w:t>
            </w:r>
          </w:p>
          <w:p w:rsidR="00011A2B" w:rsidRDefault="00011A2B" w:rsidP="00011A2B">
            <w:pPr>
              <w:pStyle w:val="ListParagraph"/>
              <w:numPr>
                <w:ilvl w:val="0"/>
                <w:numId w:val="4"/>
              </w:numPr>
              <w:spacing w:after="0" w:line="240" w:lineRule="auto"/>
              <w:jc w:val="both"/>
              <w:rPr>
                <w:i/>
              </w:rPr>
            </w:pPr>
            <w:r>
              <w:rPr>
                <w:i/>
              </w:rPr>
              <w:t>Interneti kättesaadavus</w:t>
            </w:r>
          </w:p>
          <w:p w:rsidR="00030117" w:rsidRDefault="00030117" w:rsidP="00011A2B">
            <w:pPr>
              <w:pStyle w:val="ListParagraph"/>
              <w:numPr>
                <w:ilvl w:val="0"/>
                <w:numId w:val="4"/>
              </w:numPr>
              <w:spacing w:after="0" w:line="240" w:lineRule="auto"/>
              <w:jc w:val="both"/>
              <w:rPr>
                <w:i/>
              </w:rPr>
            </w:pPr>
            <w:r>
              <w:rPr>
                <w:i/>
              </w:rPr>
              <w:t>Regionaalareng, sh jätkuv linnastumine ja eeslinnade suuruse kasv</w:t>
            </w:r>
          </w:p>
          <w:p w:rsidR="00011A2B" w:rsidRDefault="00030117" w:rsidP="00011A2B">
            <w:pPr>
              <w:pStyle w:val="ListParagraph"/>
              <w:numPr>
                <w:ilvl w:val="0"/>
                <w:numId w:val="4"/>
              </w:numPr>
              <w:spacing w:after="0" w:line="240" w:lineRule="auto"/>
              <w:jc w:val="both"/>
              <w:rPr>
                <w:i/>
              </w:rPr>
            </w:pPr>
            <w:r>
              <w:rPr>
                <w:i/>
              </w:rPr>
              <w:t>Rahvastiku muutumine rände ja vananemise tõttu</w:t>
            </w:r>
          </w:p>
          <w:p w:rsidR="00030117" w:rsidRPr="009B6207" w:rsidRDefault="00030117" w:rsidP="00011A2B">
            <w:pPr>
              <w:pStyle w:val="ListParagraph"/>
              <w:numPr>
                <w:ilvl w:val="0"/>
                <w:numId w:val="4"/>
              </w:numPr>
              <w:spacing w:after="0" w:line="240" w:lineRule="auto"/>
              <w:jc w:val="both"/>
              <w:rPr>
                <w:i/>
              </w:rPr>
            </w:pPr>
            <w:r>
              <w:rPr>
                <w:i/>
              </w:rPr>
              <w:t>Rohelise mõtlemise levik ja jätkusuutliku elukeskkonna loomine</w:t>
            </w:r>
          </w:p>
        </w:tc>
      </w:tr>
    </w:tbl>
    <w:p w:rsidR="00011A2B" w:rsidRDefault="00011A2B" w:rsidP="00011A2B"/>
    <w:p w:rsidR="00011A2B" w:rsidRPr="00FA37E8" w:rsidRDefault="00011A2B" w:rsidP="00011A2B">
      <w:pPr>
        <w:pStyle w:val="Heading2"/>
        <w:numPr>
          <w:ilvl w:val="1"/>
          <w:numId w:val="3"/>
        </w:numPr>
      </w:pPr>
      <w:r w:rsidRPr="00FA37E8">
        <w:t>Alavaldkonda mõjutavad tegevuskeskko</w:t>
      </w:r>
      <w:r>
        <w:t>nna tegurid ja nende suundumuste ehk trendide analüüs</w:t>
      </w:r>
    </w:p>
    <w:p w:rsidR="00030117" w:rsidRDefault="00011A2B" w:rsidP="00011A2B">
      <w:pPr>
        <w:spacing w:line="240" w:lineRule="auto"/>
        <w:jc w:val="both"/>
      </w:pPr>
      <w:r w:rsidRPr="002B23DA">
        <w:rPr>
          <w:b/>
        </w:rPr>
        <w:t>Alapeatüki selgitus:</w:t>
      </w:r>
      <w:r>
        <w:t xml:space="preserve"> lähtu eelmises alapeatükis (1.1.) koostatud nimekirjast ja analüüsi järgnevates tabelites toodud suuniste järgi iga analüüsivaldkonda puudutavaid teemasid. </w:t>
      </w:r>
    </w:p>
    <w:p w:rsidR="00011A2B" w:rsidRDefault="00011A2B" w:rsidP="00011A2B">
      <w:pPr>
        <w:spacing w:line="240" w:lineRule="auto"/>
        <w:jc w:val="both"/>
      </w:pPr>
      <w:r w:rsidRPr="002B23DA">
        <w:rPr>
          <w:b/>
        </w:rPr>
        <w:t>Võimalikud analüüsimeetodid:</w:t>
      </w:r>
      <w:r w:rsidRPr="00EE69B8">
        <w:t xml:space="preserve"> t</w:t>
      </w:r>
      <w:r>
        <w:t xml:space="preserve">äiendavad ekspertidega arutelud asutuses või laiemalt; individuaalne ekspertanalüüs; intervjuud. </w:t>
      </w:r>
    </w:p>
    <w:p w:rsidR="00030117" w:rsidRDefault="00030117" w:rsidP="00011A2B">
      <w:pPr>
        <w:spacing w:line="240" w:lineRule="auto"/>
        <w:jc w:val="both"/>
      </w:pPr>
    </w:p>
    <w:p w:rsidR="00030117" w:rsidRPr="006A1653" w:rsidRDefault="00030117" w:rsidP="00011A2B">
      <w:pPr>
        <w:spacing w:line="240" w:lineRule="auto"/>
        <w:jc w:val="both"/>
      </w:pPr>
    </w:p>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E11A27" w:rsidRDefault="00011A2B" w:rsidP="00D4456B">
            <w:pPr>
              <w:rPr>
                <w:b/>
              </w:rPr>
            </w:pPr>
            <w:r w:rsidRPr="00E11A27">
              <w:rPr>
                <w:b/>
              </w:rPr>
              <w:lastRenderedPageBreak/>
              <w:t>Tegur 1</w:t>
            </w:r>
          </w:p>
        </w:tc>
        <w:tc>
          <w:tcPr>
            <w:tcW w:w="7082" w:type="dxa"/>
          </w:tcPr>
          <w:p w:rsidR="00011A2B" w:rsidRDefault="00011A2B" w:rsidP="00D4456B">
            <w:pPr>
              <w:jc w:val="both"/>
              <w:rPr>
                <w:i/>
              </w:rPr>
            </w:pPr>
            <w:r>
              <w:rPr>
                <w:i/>
              </w:rPr>
              <w:t>Seadusandlik ja poliitiline keskkond</w:t>
            </w:r>
          </w:p>
        </w:tc>
      </w:tr>
      <w:tr w:rsidR="00011A2B" w:rsidTr="00D4456B">
        <w:tc>
          <w:tcPr>
            <w:tcW w:w="1980" w:type="dxa"/>
            <w:shd w:val="clear" w:color="auto" w:fill="DEEAF6" w:themeFill="accent1" w:themeFillTint="33"/>
          </w:tcPr>
          <w:p w:rsidR="00011A2B" w:rsidRPr="00E11A27" w:rsidRDefault="00011A2B" w:rsidP="00D4456B">
            <w:pPr>
              <w:rPr>
                <w:b/>
              </w:rPr>
            </w:pPr>
            <w:r>
              <w:rPr>
                <w:b/>
              </w:rPr>
              <w:t>Kirjelda teguri mõju alavaldkonnale</w:t>
            </w:r>
          </w:p>
        </w:tc>
        <w:tc>
          <w:tcPr>
            <w:tcW w:w="7082" w:type="dxa"/>
          </w:tcPr>
          <w:p w:rsidR="00011A2B" w:rsidRDefault="00030117" w:rsidP="00553D28">
            <w:pPr>
              <w:jc w:val="both"/>
              <w:rPr>
                <w:i/>
              </w:rPr>
            </w:pPr>
            <w:r>
              <w:rPr>
                <w:i/>
              </w:rPr>
              <w:t xml:space="preserve">Seadusandlik keskkond mõjutab </w:t>
            </w:r>
            <w:r w:rsidR="00553D28">
              <w:rPr>
                <w:i/>
              </w:rPr>
              <w:t>kodanikuühenduste toimimist, rahastamise mitmekesisust ja läbipaistvust. Tulumaksuseadusega kaasnevad nõuded ja võimalused avaldavad otsest mõju vabaühendustele annetamisele.</w:t>
            </w:r>
            <w:r w:rsidR="00011A2B">
              <w:rPr>
                <w:i/>
              </w:rPr>
              <w:t xml:space="preserve"> Samuti on </w:t>
            </w:r>
            <w:r>
              <w:rPr>
                <w:i/>
              </w:rPr>
              <w:t>kodanikuühiskonna valdkonna</w:t>
            </w:r>
            <w:r w:rsidR="00553D28">
              <w:rPr>
                <w:i/>
              </w:rPr>
              <w:t>s</w:t>
            </w:r>
            <w:r>
              <w:rPr>
                <w:i/>
              </w:rPr>
              <w:t xml:space="preserve"> </w:t>
            </w:r>
            <w:r w:rsidR="00011A2B">
              <w:rPr>
                <w:i/>
              </w:rPr>
              <w:t xml:space="preserve"> muid rahvusvahelisi nõudeid ja standardeid, mida on vaja järgida. </w:t>
            </w:r>
          </w:p>
        </w:tc>
      </w:tr>
      <w:tr w:rsidR="00011A2B" w:rsidTr="00D4456B">
        <w:tc>
          <w:tcPr>
            <w:tcW w:w="1980" w:type="dxa"/>
            <w:shd w:val="clear" w:color="auto" w:fill="DEEAF6" w:themeFill="accent1" w:themeFillTint="33"/>
          </w:tcPr>
          <w:p w:rsidR="00011A2B" w:rsidRPr="002B23DA" w:rsidRDefault="00011A2B" w:rsidP="00D4456B">
            <w:r>
              <w:rPr>
                <w:b/>
              </w:rPr>
              <w:t>Hinnang teguri 1</w:t>
            </w:r>
            <w:r w:rsidRPr="00E11A27">
              <w:rPr>
                <w:b/>
              </w:rPr>
              <w:t xml:space="preserve"> hetkeseisule </w:t>
            </w:r>
            <w:r w:rsidRPr="002B23DA">
              <w:t xml:space="preserve">(statistika, mis on olnud kitsaskohad ja olulisimad edusammud perioodil </w:t>
            </w:r>
          </w:p>
          <w:p w:rsidR="00011A2B" w:rsidRPr="00E11A27" w:rsidRDefault="00011A2B" w:rsidP="00D4456B">
            <w:pPr>
              <w:rPr>
                <w:b/>
              </w:rPr>
            </w:pPr>
            <w:r w:rsidRPr="002B23DA">
              <w:t>2015–2017 seoses teguriga. Vajaduse korral võib arvesse võtta pikemat perioodi!)</w:t>
            </w:r>
          </w:p>
        </w:tc>
        <w:tc>
          <w:tcPr>
            <w:tcW w:w="7082" w:type="dxa"/>
          </w:tcPr>
          <w:p w:rsidR="00553D28" w:rsidRDefault="00553D28" w:rsidP="00553D28">
            <w:pPr>
              <w:jc w:val="both"/>
              <w:rPr>
                <w:i/>
              </w:rPr>
            </w:pPr>
            <w:r w:rsidRPr="00553D28">
              <w:rPr>
                <w:i/>
              </w:rPr>
              <w:t xml:space="preserve">2017. aasta viimases valitsuskabinetis 28. detsembril arutas valitsus ühiskomisjonis läbiräägitud ettepanekuid vabaühenduste rahastamise mitmekesistamiseks ja </w:t>
            </w:r>
            <w:r>
              <w:rPr>
                <w:i/>
              </w:rPr>
              <w:t xml:space="preserve">otsustati heaks kiita </w:t>
            </w:r>
            <w:r w:rsidRPr="00553D28">
              <w:rPr>
                <w:i/>
              </w:rPr>
              <w:t>maksutagastuse suunamine, nimekirja kandmise lihtsustamine kui ka ühiskondl</w:t>
            </w:r>
            <w:r>
              <w:rPr>
                <w:i/>
              </w:rPr>
              <w:t>iku mõju osakute kasutuselevõtu pilootprojekti läbiviimine.</w:t>
            </w:r>
          </w:p>
          <w:p w:rsidR="00553D28" w:rsidRDefault="00553D28" w:rsidP="00553D28">
            <w:pPr>
              <w:jc w:val="both"/>
              <w:rPr>
                <w:i/>
              </w:rPr>
            </w:pPr>
            <w:r w:rsidRPr="00553D28">
              <w:rPr>
                <w:i/>
              </w:rPr>
              <w:t>Juulis 2017 jõustus tulumaksu- jt seaduste muutmise eelnõu, mis võimaldab tulumaksusoodustusega vabaühendustel maksta maksuvaba päevaraha. See omakorda on  samm vabaühenduste ja ettevõtete võrdse kohtlemise suunas.</w:t>
            </w:r>
          </w:p>
          <w:p w:rsidR="00553D28" w:rsidRDefault="00553D28" w:rsidP="00553D28">
            <w:pPr>
              <w:jc w:val="both"/>
              <w:rPr>
                <w:i/>
              </w:rPr>
            </w:pPr>
            <w:r>
              <w:rPr>
                <w:i/>
              </w:rPr>
              <w:t>Jätkuvalt on annetuste tulumaksutagastuse piirmäär nii juriidilistele kui füüsi</w:t>
            </w:r>
            <w:r w:rsidR="00045AC3">
              <w:rPr>
                <w:i/>
              </w:rPr>
              <w:t xml:space="preserve">listele isikutele, mis võib takistada vabaühendustele annetamist. </w:t>
            </w:r>
          </w:p>
        </w:tc>
      </w:tr>
      <w:tr w:rsidR="00011A2B" w:rsidTr="00D4456B">
        <w:tc>
          <w:tcPr>
            <w:tcW w:w="1980" w:type="dxa"/>
            <w:shd w:val="clear" w:color="auto" w:fill="DEEAF6" w:themeFill="accent1" w:themeFillTint="33"/>
          </w:tcPr>
          <w:p w:rsidR="00011A2B" w:rsidRDefault="00011A2B" w:rsidP="00D4456B">
            <w:pPr>
              <w:rPr>
                <w:b/>
              </w:rPr>
            </w:pPr>
            <w:r w:rsidRPr="00E11A27">
              <w:rPr>
                <w:b/>
              </w:rPr>
              <w:t xml:space="preserve">Prognoos teguri 1 </w:t>
            </w:r>
            <w:r>
              <w:rPr>
                <w:b/>
              </w:rPr>
              <w:t xml:space="preserve">arengute </w:t>
            </w:r>
            <w:r w:rsidRPr="00E11A27">
              <w:rPr>
                <w:b/>
              </w:rPr>
              <w:t>osas</w:t>
            </w:r>
            <w:r>
              <w:rPr>
                <w:b/>
              </w:rPr>
              <w:t xml:space="preserve"> ja edasise mõju osas valdkonnale</w:t>
            </w:r>
          </w:p>
        </w:tc>
        <w:tc>
          <w:tcPr>
            <w:tcW w:w="7082" w:type="dxa"/>
          </w:tcPr>
          <w:p w:rsidR="00045AC3" w:rsidRDefault="00045AC3" w:rsidP="00045AC3">
            <w:pPr>
              <w:jc w:val="both"/>
              <w:rPr>
                <w:i/>
              </w:rPr>
            </w:pPr>
            <w:r>
              <w:rPr>
                <w:i/>
              </w:rPr>
              <w:t xml:space="preserve">Annetuste suurenemisel kerkib üha enam esile piirmäära võimalik negatiivne mõju annetamise aktiivsusele. Sellest lähtuvalt võib suureneda surve tulumaksuseaduse muutmisele. </w:t>
            </w:r>
          </w:p>
        </w:tc>
      </w:tr>
      <w:tr w:rsidR="00011A2B" w:rsidTr="00D4456B">
        <w:tc>
          <w:tcPr>
            <w:tcW w:w="1980" w:type="dxa"/>
            <w:shd w:val="clear" w:color="auto" w:fill="DEEAF6" w:themeFill="accent1" w:themeFillTint="33"/>
          </w:tcPr>
          <w:p w:rsidR="00011A2B" w:rsidRDefault="00011A2B" w:rsidP="00D4456B">
            <w:pPr>
              <w:rPr>
                <w:b/>
              </w:rPr>
            </w:pPr>
            <w:r>
              <w:rPr>
                <w:b/>
              </w:rPr>
              <w:t xml:space="preserve">Hinda teguri suhtelist olulisust valdkonnale </w:t>
            </w:r>
            <w:r w:rsidRPr="008F7B74">
              <w:rPr>
                <w:b/>
              </w:rPr>
              <w:t>ja põhjenda lühidalt</w:t>
            </w:r>
          </w:p>
        </w:tc>
        <w:tc>
          <w:tcPr>
            <w:tcW w:w="7082" w:type="dxa"/>
          </w:tcPr>
          <w:p w:rsidR="00011A2B" w:rsidRDefault="00045AC3" w:rsidP="00045AC3">
            <w:pPr>
              <w:jc w:val="both"/>
              <w:rPr>
                <w:i/>
              </w:rPr>
            </w:pPr>
            <w:r>
              <w:rPr>
                <w:i/>
              </w:rPr>
              <w:t>2</w:t>
            </w:r>
            <w:r w:rsidR="00011A2B">
              <w:rPr>
                <w:i/>
              </w:rPr>
              <w:t xml:space="preserve"> –</w:t>
            </w:r>
            <w:r>
              <w:rPr>
                <w:i/>
              </w:rPr>
              <w:t xml:space="preserve"> </w:t>
            </w:r>
            <w:r w:rsidR="00011A2B">
              <w:rPr>
                <w:i/>
              </w:rPr>
              <w:t>oluline</w:t>
            </w:r>
          </w:p>
        </w:tc>
      </w:tr>
      <w:tr w:rsidR="00011A2B" w:rsidTr="00D4456B">
        <w:tc>
          <w:tcPr>
            <w:tcW w:w="1980" w:type="dxa"/>
            <w:shd w:val="clear" w:color="auto" w:fill="DEEAF6" w:themeFill="accent1" w:themeFillTint="33"/>
          </w:tcPr>
          <w:p w:rsidR="00011A2B" w:rsidRPr="00E11A27" w:rsidRDefault="00011A2B" w:rsidP="00D4456B">
            <w:pPr>
              <w:rPr>
                <w:b/>
              </w:rPr>
            </w:pPr>
            <w:r>
              <w:rPr>
                <w:b/>
              </w:rPr>
              <w:t>Hinda tõenäosust, et tegur avaldab prognoositud mõju</w:t>
            </w:r>
          </w:p>
        </w:tc>
        <w:tc>
          <w:tcPr>
            <w:tcW w:w="7082" w:type="dxa"/>
          </w:tcPr>
          <w:p w:rsidR="00011A2B" w:rsidRDefault="00011A2B" w:rsidP="00D4456B">
            <w:pPr>
              <w:jc w:val="both"/>
              <w:rPr>
                <w:i/>
              </w:rPr>
            </w:pPr>
            <w:r w:rsidRPr="009E0302">
              <w:rPr>
                <w:i/>
              </w:rPr>
              <w:t>1 – mõju e</w:t>
            </w:r>
            <w:r>
              <w:rPr>
                <w:i/>
              </w:rPr>
              <w:t>sinemine on suure tõenäosusega</w:t>
            </w:r>
          </w:p>
        </w:tc>
      </w:tr>
      <w:tr w:rsidR="00011A2B" w:rsidTr="00D4456B">
        <w:tc>
          <w:tcPr>
            <w:tcW w:w="1980" w:type="dxa"/>
            <w:shd w:val="clear" w:color="auto" w:fill="DEEAF6" w:themeFill="accent1" w:themeFillTint="33"/>
          </w:tcPr>
          <w:p w:rsidR="00011A2B" w:rsidRDefault="00011A2B" w:rsidP="00D4456B">
            <w:pPr>
              <w:rPr>
                <w:b/>
              </w:rPr>
            </w:pPr>
            <w:r>
              <w:rPr>
                <w:b/>
              </w:rPr>
              <w:t>Kas teguri analüüsiks on vaja täiendavaid ekspertarvamusi</w:t>
            </w:r>
          </w:p>
        </w:tc>
        <w:tc>
          <w:tcPr>
            <w:tcW w:w="7082" w:type="dxa"/>
          </w:tcPr>
          <w:p w:rsidR="00011A2B" w:rsidRDefault="00011A2B" w:rsidP="00D4456B">
            <w:pPr>
              <w:jc w:val="both"/>
              <w:rPr>
                <w:i/>
              </w:rPr>
            </w:pPr>
            <w:r>
              <w:rPr>
                <w:i/>
              </w:rPr>
              <w:t>Jah</w:t>
            </w:r>
          </w:p>
        </w:tc>
      </w:tr>
    </w:tbl>
    <w:p w:rsidR="00011A2B" w:rsidRDefault="00011A2B" w:rsidP="00011A2B">
      <w:pPr>
        <w:spacing w:line="240" w:lineRule="auto"/>
        <w:jc w:val="both"/>
      </w:pPr>
    </w:p>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E11A27" w:rsidRDefault="00011A2B" w:rsidP="00D4456B">
            <w:pPr>
              <w:rPr>
                <w:b/>
              </w:rPr>
            </w:pPr>
            <w:r>
              <w:rPr>
                <w:b/>
              </w:rPr>
              <w:t>Tegur 2</w:t>
            </w:r>
          </w:p>
        </w:tc>
        <w:tc>
          <w:tcPr>
            <w:tcW w:w="7082" w:type="dxa"/>
          </w:tcPr>
          <w:p w:rsidR="00011A2B" w:rsidRDefault="00011A2B" w:rsidP="00D4456B">
            <w:pPr>
              <w:jc w:val="both"/>
              <w:rPr>
                <w:i/>
              </w:rPr>
            </w:pPr>
            <w:r>
              <w:rPr>
                <w:i/>
              </w:rPr>
              <w:t>Majanduskeskkond</w:t>
            </w:r>
          </w:p>
        </w:tc>
      </w:tr>
      <w:tr w:rsidR="00011A2B" w:rsidTr="00D4456B">
        <w:tc>
          <w:tcPr>
            <w:tcW w:w="1980" w:type="dxa"/>
            <w:shd w:val="clear" w:color="auto" w:fill="DEEAF6" w:themeFill="accent1" w:themeFillTint="33"/>
          </w:tcPr>
          <w:p w:rsidR="00011A2B" w:rsidRPr="00E11A27" w:rsidRDefault="00011A2B" w:rsidP="00D4456B">
            <w:pPr>
              <w:rPr>
                <w:b/>
              </w:rPr>
            </w:pPr>
            <w:r>
              <w:rPr>
                <w:b/>
              </w:rPr>
              <w:t>Kirjelda teguri mõju alavaldkonnale</w:t>
            </w:r>
          </w:p>
        </w:tc>
        <w:tc>
          <w:tcPr>
            <w:tcW w:w="7082" w:type="dxa"/>
          </w:tcPr>
          <w:p w:rsidR="00011A2B" w:rsidRPr="00525C16" w:rsidRDefault="00045AC3" w:rsidP="00045AC3">
            <w:pPr>
              <w:jc w:val="both"/>
              <w:rPr>
                <w:i/>
                <w:strike/>
              </w:rPr>
            </w:pPr>
            <w:r>
              <w:rPr>
                <w:i/>
              </w:rPr>
              <w:t xml:space="preserve">Info- ja kommunikatsioonitehnoloogiate levik võimaldab ühelt poolt kiirendada ja lihtsustada riigi, vabaühenduste ja elanike omavahelist suhtlust, teiselt poolt muudab inimeste tööharjumusi. IKT levik võimaldab riigil ja vabaühendustel võtta kasutusele uusi kaasamise meetodeid ja jõuda </w:t>
            </w:r>
            <w:r>
              <w:rPr>
                <w:i/>
              </w:rPr>
              <w:lastRenderedPageBreak/>
              <w:t>rohkemate inimesteni. Samal ajal suureneb sõltuvus kiirest internetist ja vähem oluliseks muutub inimeste füüsiline kaugus ehk töö asukoht ei oma enam niivõrd suurt tähtsust.</w:t>
            </w:r>
          </w:p>
        </w:tc>
      </w:tr>
      <w:tr w:rsidR="00011A2B" w:rsidTr="00D4456B">
        <w:tc>
          <w:tcPr>
            <w:tcW w:w="1980" w:type="dxa"/>
            <w:shd w:val="clear" w:color="auto" w:fill="DEEAF6" w:themeFill="accent1" w:themeFillTint="33"/>
          </w:tcPr>
          <w:p w:rsidR="00011A2B" w:rsidRPr="002B23DA" w:rsidRDefault="00011A2B" w:rsidP="00D4456B">
            <w:r>
              <w:rPr>
                <w:b/>
              </w:rPr>
              <w:lastRenderedPageBreak/>
              <w:t>Hinnang teguri 2</w:t>
            </w:r>
            <w:r w:rsidRPr="00E11A27">
              <w:rPr>
                <w:b/>
              </w:rPr>
              <w:t xml:space="preserve"> hetkeseisule </w:t>
            </w:r>
            <w:r w:rsidRPr="002B23DA">
              <w:t xml:space="preserve">(statistika, mis on olnud kitsaskohad ja olulisimad edusammud perioodil </w:t>
            </w:r>
          </w:p>
          <w:p w:rsidR="00011A2B" w:rsidRPr="00E11A27" w:rsidRDefault="00011A2B" w:rsidP="00D4456B">
            <w:pPr>
              <w:rPr>
                <w:b/>
              </w:rPr>
            </w:pPr>
            <w:r w:rsidRPr="002B23DA">
              <w:t>2015–2017 seoses teguriga. Vajaduse korral võib arvesse võtta pikemat perioodi!)</w:t>
            </w:r>
          </w:p>
        </w:tc>
        <w:tc>
          <w:tcPr>
            <w:tcW w:w="7082" w:type="dxa"/>
          </w:tcPr>
          <w:p w:rsidR="00011A2B" w:rsidRDefault="00011A2B" w:rsidP="00D4456B">
            <w:pPr>
              <w:jc w:val="both"/>
              <w:rPr>
                <w:i/>
              </w:rPr>
            </w:pPr>
            <w:r w:rsidRPr="00CE41C9">
              <w:rPr>
                <w:i/>
              </w:rPr>
              <w:t>Info- ja kommunikatsioonitehnoloogia (IKT) mõju riikide majanduse konkurentsivõimele, ühiskondlikule heaolule ja riigivalitsemisele on raske üle hinnata. Uuringufirma McKinsey andmetel annab ainuüksi internet 21% sisemajanduse koguprodukti kasvust, kusjuures 75% sellest traditsioonilistes majandusharudes. Arengufondi analüüsi järgi võib sel kümnendil IKT-sektori tekitatav majanduskasv olla Eestis 0,9–1,3%.</w:t>
            </w:r>
          </w:p>
          <w:p w:rsidR="00011A2B" w:rsidRDefault="00011A2B" w:rsidP="00765D3F">
            <w:pPr>
              <w:jc w:val="both"/>
              <w:rPr>
                <w:i/>
              </w:rPr>
            </w:pPr>
            <w:r>
              <w:rPr>
                <w:i/>
              </w:rPr>
              <w:t>Järjest rohkem on ameteid, mis ei sõltu asukohast ning mida saab teha, kasutades telekommunikatsioonivahendeid. See aga omakorda tähendab, et inimestel on vaja üha rohkem tehinguid teha e-keskkonnas, üha rohkem on vaja kasutada e-keskkonnas autentimist ning anda digitaalallkirju.</w:t>
            </w:r>
            <w:r w:rsidR="00846EE1">
              <w:rPr>
                <w:i/>
              </w:rPr>
              <w:t xml:space="preserve"> </w:t>
            </w:r>
          </w:p>
          <w:p w:rsidR="00765D3F" w:rsidRDefault="00765D3F" w:rsidP="00765D3F">
            <w:pPr>
              <w:jc w:val="both"/>
              <w:rPr>
                <w:i/>
              </w:rPr>
            </w:pPr>
            <w:r>
              <w:rPr>
                <w:i/>
              </w:rPr>
              <w:t>Kaasamisel on üha suurema tähtsusega avalikud kaasamise leheküljed näiteks rahvaalgatus.ee ja uuenenud eelnõude infosüsteem.</w:t>
            </w:r>
          </w:p>
        </w:tc>
      </w:tr>
      <w:tr w:rsidR="00011A2B" w:rsidTr="00D4456B">
        <w:tc>
          <w:tcPr>
            <w:tcW w:w="1980" w:type="dxa"/>
            <w:shd w:val="clear" w:color="auto" w:fill="DEEAF6" w:themeFill="accent1" w:themeFillTint="33"/>
          </w:tcPr>
          <w:p w:rsidR="00011A2B" w:rsidRDefault="00011A2B" w:rsidP="00D4456B">
            <w:pPr>
              <w:rPr>
                <w:b/>
              </w:rPr>
            </w:pPr>
            <w:r>
              <w:rPr>
                <w:b/>
              </w:rPr>
              <w:t>Prognoos teguri 2</w:t>
            </w:r>
            <w:r w:rsidRPr="00E11A27">
              <w:rPr>
                <w:b/>
              </w:rPr>
              <w:t xml:space="preserve"> </w:t>
            </w:r>
            <w:r>
              <w:rPr>
                <w:b/>
              </w:rPr>
              <w:t xml:space="preserve">arengute </w:t>
            </w:r>
            <w:r w:rsidRPr="00E11A27">
              <w:rPr>
                <w:b/>
              </w:rPr>
              <w:t>osas</w:t>
            </w:r>
            <w:r>
              <w:rPr>
                <w:b/>
              </w:rPr>
              <w:t xml:space="preserve"> ja edasise mõju osas valdkonnale</w:t>
            </w:r>
          </w:p>
        </w:tc>
        <w:tc>
          <w:tcPr>
            <w:tcW w:w="7082" w:type="dxa"/>
          </w:tcPr>
          <w:p w:rsidR="00011A2B" w:rsidRDefault="00011A2B" w:rsidP="00D4456B">
            <w:pPr>
              <w:jc w:val="both"/>
              <w:rPr>
                <w:i/>
              </w:rPr>
            </w:pPr>
            <w:r>
              <w:rPr>
                <w:i/>
              </w:rPr>
              <w:t>Majanduse areng sõltub üha rohkem IKT-st ning järjest rohkem on asukohast sõltumatuid ameteid, mis toob kaasa suurema vajaduse tõsikindla ja turvalise digitaalse identiteedihalduse ning kaasaegsete digitaalsete dokumentide järele.</w:t>
            </w:r>
          </w:p>
          <w:p w:rsidR="00765D3F" w:rsidRDefault="00765D3F" w:rsidP="00765D3F">
            <w:pPr>
              <w:jc w:val="both"/>
              <w:rPr>
                <w:i/>
              </w:rPr>
            </w:pPr>
            <w:r>
              <w:rPr>
                <w:i/>
              </w:rPr>
              <w:t>Vabaühendused vajavad enim IKT vahendeid ja tehnoloogia kasutamise oskust, et suhelda nii riigi kui enda sihtgrupiga.</w:t>
            </w:r>
          </w:p>
          <w:p w:rsidR="00765D3F" w:rsidRDefault="00765D3F" w:rsidP="00765D3F">
            <w:pPr>
              <w:jc w:val="both"/>
              <w:rPr>
                <w:i/>
              </w:rPr>
            </w:pPr>
            <w:r>
              <w:rPr>
                <w:i/>
              </w:rPr>
              <w:t>Üha enam mõjutab vabaühendusi ja ühiskonda laiemalt info usaldusväärsuse küsimuse. Inforohkus nõuab kasutajatelt kriitilist analüüsivõimet.</w:t>
            </w:r>
          </w:p>
        </w:tc>
      </w:tr>
      <w:tr w:rsidR="00011A2B" w:rsidTr="00D4456B">
        <w:tc>
          <w:tcPr>
            <w:tcW w:w="1980" w:type="dxa"/>
            <w:shd w:val="clear" w:color="auto" w:fill="DEEAF6" w:themeFill="accent1" w:themeFillTint="33"/>
          </w:tcPr>
          <w:p w:rsidR="00011A2B" w:rsidRDefault="00011A2B" w:rsidP="00D4456B">
            <w:pPr>
              <w:rPr>
                <w:b/>
              </w:rPr>
            </w:pPr>
            <w:r>
              <w:rPr>
                <w:b/>
              </w:rPr>
              <w:t>Hinda teguri suhtelist olulisust valdkonnale ja põhjenda lühidalt</w:t>
            </w:r>
          </w:p>
        </w:tc>
        <w:tc>
          <w:tcPr>
            <w:tcW w:w="7082" w:type="dxa"/>
          </w:tcPr>
          <w:p w:rsidR="00011A2B" w:rsidRDefault="00011A2B" w:rsidP="00D4456B">
            <w:pPr>
              <w:jc w:val="both"/>
              <w:rPr>
                <w:i/>
              </w:rPr>
            </w:pPr>
            <w:r>
              <w:rPr>
                <w:i/>
              </w:rPr>
              <w:t>1 – väga oluline</w:t>
            </w:r>
          </w:p>
        </w:tc>
      </w:tr>
      <w:tr w:rsidR="00011A2B" w:rsidTr="00D4456B">
        <w:tc>
          <w:tcPr>
            <w:tcW w:w="1980" w:type="dxa"/>
            <w:shd w:val="clear" w:color="auto" w:fill="DEEAF6" w:themeFill="accent1" w:themeFillTint="33"/>
          </w:tcPr>
          <w:p w:rsidR="00011A2B" w:rsidRPr="00E11A27" w:rsidRDefault="00011A2B" w:rsidP="00D4456B">
            <w:pPr>
              <w:rPr>
                <w:b/>
              </w:rPr>
            </w:pPr>
            <w:r>
              <w:rPr>
                <w:b/>
              </w:rPr>
              <w:t>Hinda tõenäosust, et tegur avaldab prognoositud mõju</w:t>
            </w:r>
          </w:p>
        </w:tc>
        <w:tc>
          <w:tcPr>
            <w:tcW w:w="7082" w:type="dxa"/>
          </w:tcPr>
          <w:p w:rsidR="00011A2B" w:rsidRDefault="00011A2B" w:rsidP="00D4456B">
            <w:pPr>
              <w:jc w:val="both"/>
              <w:rPr>
                <w:i/>
              </w:rPr>
            </w:pPr>
            <w:r w:rsidRPr="009E0302">
              <w:rPr>
                <w:i/>
              </w:rPr>
              <w:t>1 – mõju e</w:t>
            </w:r>
            <w:r>
              <w:rPr>
                <w:i/>
              </w:rPr>
              <w:t>sinemine on suure tõenäosusega</w:t>
            </w:r>
          </w:p>
        </w:tc>
      </w:tr>
      <w:tr w:rsidR="00011A2B" w:rsidTr="00D4456B">
        <w:tc>
          <w:tcPr>
            <w:tcW w:w="1980" w:type="dxa"/>
            <w:shd w:val="clear" w:color="auto" w:fill="DEEAF6" w:themeFill="accent1" w:themeFillTint="33"/>
          </w:tcPr>
          <w:p w:rsidR="00011A2B" w:rsidRDefault="00011A2B" w:rsidP="00D4456B">
            <w:pPr>
              <w:rPr>
                <w:b/>
              </w:rPr>
            </w:pPr>
            <w:r>
              <w:rPr>
                <w:b/>
              </w:rPr>
              <w:t>Kas teguri analüüsiks on vaja täiendavaid ekspertarvamusi</w:t>
            </w:r>
          </w:p>
        </w:tc>
        <w:tc>
          <w:tcPr>
            <w:tcW w:w="7082" w:type="dxa"/>
          </w:tcPr>
          <w:p w:rsidR="00011A2B" w:rsidRDefault="00011A2B" w:rsidP="00D4456B">
            <w:pPr>
              <w:jc w:val="both"/>
              <w:rPr>
                <w:i/>
              </w:rPr>
            </w:pPr>
            <w:r>
              <w:rPr>
                <w:i/>
              </w:rPr>
              <w:t>Jah</w:t>
            </w:r>
          </w:p>
        </w:tc>
      </w:tr>
    </w:tbl>
    <w:p w:rsidR="00011A2B" w:rsidRDefault="00011A2B" w:rsidP="00011A2B">
      <w:pPr>
        <w:spacing w:line="240" w:lineRule="auto"/>
        <w:jc w:val="both"/>
      </w:pPr>
    </w:p>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E11A27" w:rsidRDefault="00011A2B" w:rsidP="00D4456B">
            <w:pPr>
              <w:rPr>
                <w:b/>
              </w:rPr>
            </w:pPr>
            <w:r>
              <w:rPr>
                <w:b/>
              </w:rPr>
              <w:t>Tegur 3</w:t>
            </w:r>
          </w:p>
        </w:tc>
        <w:tc>
          <w:tcPr>
            <w:tcW w:w="7082" w:type="dxa"/>
          </w:tcPr>
          <w:p w:rsidR="00011A2B" w:rsidRDefault="00011A2B" w:rsidP="00D4456B">
            <w:pPr>
              <w:jc w:val="both"/>
              <w:rPr>
                <w:i/>
              </w:rPr>
            </w:pPr>
            <w:r>
              <w:rPr>
                <w:i/>
              </w:rPr>
              <w:t>Sotsiaalne keskkond</w:t>
            </w:r>
          </w:p>
        </w:tc>
      </w:tr>
      <w:tr w:rsidR="00011A2B" w:rsidTr="00D4456B">
        <w:tc>
          <w:tcPr>
            <w:tcW w:w="1980" w:type="dxa"/>
            <w:shd w:val="clear" w:color="auto" w:fill="DEEAF6" w:themeFill="accent1" w:themeFillTint="33"/>
          </w:tcPr>
          <w:p w:rsidR="00011A2B" w:rsidRPr="00E11A27" w:rsidRDefault="00011A2B" w:rsidP="00D4456B">
            <w:pPr>
              <w:rPr>
                <w:b/>
              </w:rPr>
            </w:pPr>
            <w:r>
              <w:rPr>
                <w:b/>
              </w:rPr>
              <w:lastRenderedPageBreak/>
              <w:t>Kirjelda teguri mõju alavaldkonnale</w:t>
            </w:r>
          </w:p>
        </w:tc>
        <w:tc>
          <w:tcPr>
            <w:tcW w:w="7082" w:type="dxa"/>
          </w:tcPr>
          <w:p w:rsidR="00011A2B" w:rsidRDefault="00A6209B" w:rsidP="00D4456B">
            <w:pPr>
              <w:jc w:val="both"/>
              <w:rPr>
                <w:i/>
              </w:rPr>
            </w:pPr>
            <w:r>
              <w:rPr>
                <w:i/>
              </w:rPr>
              <w:t>Muutuv elanikkond suurendab survet eri ühiskonnagruppide omavahelise lõimumise olulisusele. Ühiskonda mõjutavad noorte väljaränne, vananev rahvastik, suurenev sisseränne. Vananev rahvastik seab ülesandeks kaasata enim kõi</w:t>
            </w:r>
            <w:r w:rsidR="00FE575F">
              <w:rPr>
                <w:i/>
              </w:rPr>
              <w:t>kidest vanuse</w:t>
            </w:r>
            <w:r>
              <w:rPr>
                <w:i/>
              </w:rPr>
              <w:t>gruppidest inimesi.</w:t>
            </w:r>
          </w:p>
          <w:p w:rsidR="00FE575F" w:rsidRDefault="00FE575F" w:rsidP="00D4456B">
            <w:pPr>
              <w:jc w:val="both"/>
              <w:rPr>
                <w:i/>
              </w:rPr>
            </w:pPr>
            <w:r>
              <w:rPr>
                <w:i/>
              </w:rPr>
              <w:t xml:space="preserve">Oluline roll väärtuste ja hoiakute kujundamisel on kodanikuharidusel. </w:t>
            </w:r>
          </w:p>
        </w:tc>
      </w:tr>
      <w:tr w:rsidR="00011A2B" w:rsidTr="00D4456B">
        <w:tc>
          <w:tcPr>
            <w:tcW w:w="1980" w:type="dxa"/>
            <w:shd w:val="clear" w:color="auto" w:fill="DEEAF6" w:themeFill="accent1" w:themeFillTint="33"/>
          </w:tcPr>
          <w:p w:rsidR="00011A2B" w:rsidRPr="002B23DA" w:rsidRDefault="00011A2B" w:rsidP="00D4456B">
            <w:r>
              <w:rPr>
                <w:b/>
              </w:rPr>
              <w:t>Hinnang teguri 3</w:t>
            </w:r>
            <w:r w:rsidRPr="00E11A27">
              <w:rPr>
                <w:b/>
              </w:rPr>
              <w:t xml:space="preserve"> hetkeseisule </w:t>
            </w:r>
            <w:r w:rsidRPr="002B23DA">
              <w:t xml:space="preserve">(statistika, mis on olnud kitsaskohad ja olulisimad edusammud perioodil </w:t>
            </w:r>
          </w:p>
          <w:p w:rsidR="00011A2B" w:rsidRPr="00E11A27" w:rsidRDefault="00011A2B" w:rsidP="00D4456B">
            <w:pPr>
              <w:rPr>
                <w:b/>
              </w:rPr>
            </w:pPr>
            <w:r w:rsidRPr="002B23DA">
              <w:t>2015–2017 seoses teguriga. Vajaduse korral võib arvesse võtta pikemat perioodi!)</w:t>
            </w:r>
          </w:p>
        </w:tc>
        <w:tc>
          <w:tcPr>
            <w:tcW w:w="7082" w:type="dxa"/>
          </w:tcPr>
          <w:p w:rsidR="003C31F3" w:rsidRDefault="009359B0" w:rsidP="006927B8">
            <w:pPr>
              <w:jc w:val="both"/>
              <w:rPr>
                <w:i/>
              </w:rPr>
            </w:pPr>
            <w:r>
              <w:rPr>
                <w:i/>
              </w:rPr>
              <w:t>Iga nädal antakse välja venekeelset kodanikuühiskonna nädalakirja. 201</w:t>
            </w:r>
            <w:r w:rsidRPr="009359B0">
              <w:rPr>
                <w:i/>
              </w:rPr>
              <w:t>7. a juuni lõpu seisuga töötab üle Eesti 18 kodanikuühenduste konsultanti, neist kaks vene töökeelega. Enamikus maakondades on üks konsultant, erand on Ida-Virumaa ühe eesti- ja ühe venekeelse ning Harjumaa kahe eesti- ja ühe venekeelse konsultandiga.</w:t>
            </w:r>
            <w:r w:rsidR="003C31F3">
              <w:t xml:space="preserve"> </w:t>
            </w:r>
          </w:p>
          <w:p w:rsidR="009359B0" w:rsidRDefault="003C31F3" w:rsidP="006927B8">
            <w:pPr>
              <w:jc w:val="both"/>
              <w:rPr>
                <w:i/>
              </w:rPr>
            </w:pPr>
            <w:r w:rsidRPr="003C31F3">
              <w:rPr>
                <w:i/>
              </w:rPr>
              <w:t>Eesti elanikkonna üldine harituse tase on kõrge, kuid negatiivsena, et Eestis ei ole kodanikuharidust elaniku elukaare vaates kontseptualiseeritud ning kuigi osaliselt täidab kodanikuhariduse rolli kooliharidus, siis on väga vähe tegevusi, mis oleks suunatud täiskasvanutele.</w:t>
            </w:r>
          </w:p>
          <w:p w:rsidR="003C31F3" w:rsidRDefault="003C31F3" w:rsidP="006927B8">
            <w:pPr>
              <w:jc w:val="both"/>
              <w:rPr>
                <w:i/>
              </w:rPr>
            </w:pPr>
          </w:p>
        </w:tc>
      </w:tr>
      <w:tr w:rsidR="00011A2B" w:rsidTr="00D4456B">
        <w:tc>
          <w:tcPr>
            <w:tcW w:w="1980" w:type="dxa"/>
            <w:shd w:val="clear" w:color="auto" w:fill="DEEAF6" w:themeFill="accent1" w:themeFillTint="33"/>
          </w:tcPr>
          <w:p w:rsidR="00011A2B" w:rsidRDefault="00011A2B" w:rsidP="00D4456B">
            <w:pPr>
              <w:rPr>
                <w:b/>
              </w:rPr>
            </w:pPr>
            <w:r>
              <w:rPr>
                <w:b/>
              </w:rPr>
              <w:t>Prognoos teguri 3</w:t>
            </w:r>
            <w:r w:rsidRPr="00E11A27">
              <w:rPr>
                <w:b/>
              </w:rPr>
              <w:t xml:space="preserve"> </w:t>
            </w:r>
            <w:r>
              <w:rPr>
                <w:b/>
              </w:rPr>
              <w:t xml:space="preserve">arengute </w:t>
            </w:r>
            <w:r w:rsidRPr="00E11A27">
              <w:rPr>
                <w:b/>
              </w:rPr>
              <w:t>osas</w:t>
            </w:r>
            <w:r>
              <w:rPr>
                <w:b/>
              </w:rPr>
              <w:t xml:space="preserve"> ja edasise mõju osas valdkonnale</w:t>
            </w:r>
          </w:p>
        </w:tc>
        <w:tc>
          <w:tcPr>
            <w:tcW w:w="7082" w:type="dxa"/>
          </w:tcPr>
          <w:p w:rsidR="00011A2B" w:rsidRDefault="009359B0" w:rsidP="00D4456B">
            <w:pPr>
              <w:jc w:val="both"/>
              <w:rPr>
                <w:i/>
              </w:rPr>
            </w:pPr>
            <w:r>
              <w:rPr>
                <w:i/>
              </w:rPr>
              <w:t>Suureneb vajadus kaasata vabaühenduste tegevusse eri vanusegruppidest, rahvustest ja kultuuridest pärit inimesi. Rohkem on vaja edastada teavet teistes keeltes</w:t>
            </w:r>
            <w:r w:rsidR="00FE575F">
              <w:rPr>
                <w:i/>
              </w:rPr>
              <w:t xml:space="preserve"> ja suurendada osalusvõimalusi.</w:t>
            </w:r>
          </w:p>
          <w:p w:rsidR="00FE575F" w:rsidRDefault="00FE575F" w:rsidP="00D4456B">
            <w:pPr>
              <w:jc w:val="both"/>
              <w:rPr>
                <w:i/>
              </w:rPr>
            </w:pPr>
            <w:r>
              <w:rPr>
                <w:i/>
              </w:rPr>
              <w:t>Enam rõhku on vaja panna inimestele õiguste ja kohustuste ja heaks kodanikuks olemise tutvustamisele.</w:t>
            </w:r>
          </w:p>
        </w:tc>
      </w:tr>
      <w:tr w:rsidR="00011A2B" w:rsidTr="00D4456B">
        <w:tc>
          <w:tcPr>
            <w:tcW w:w="1980" w:type="dxa"/>
            <w:shd w:val="clear" w:color="auto" w:fill="DEEAF6" w:themeFill="accent1" w:themeFillTint="33"/>
          </w:tcPr>
          <w:p w:rsidR="00011A2B" w:rsidRDefault="00011A2B" w:rsidP="00D4456B">
            <w:pPr>
              <w:rPr>
                <w:b/>
              </w:rPr>
            </w:pPr>
            <w:r>
              <w:rPr>
                <w:b/>
              </w:rPr>
              <w:t xml:space="preserve">Hinda teguri suhtelist olulisust valdkonnale </w:t>
            </w:r>
            <w:r w:rsidRPr="008F7B74">
              <w:rPr>
                <w:b/>
              </w:rPr>
              <w:t>ja põhjenda lühidalt</w:t>
            </w:r>
          </w:p>
        </w:tc>
        <w:tc>
          <w:tcPr>
            <w:tcW w:w="7082" w:type="dxa"/>
          </w:tcPr>
          <w:p w:rsidR="00011A2B" w:rsidRDefault="00011A2B" w:rsidP="00D4456B">
            <w:pPr>
              <w:jc w:val="both"/>
              <w:rPr>
                <w:i/>
              </w:rPr>
            </w:pPr>
            <w:r>
              <w:rPr>
                <w:i/>
              </w:rPr>
              <w:t xml:space="preserve">1 – väga oluline  </w:t>
            </w:r>
          </w:p>
        </w:tc>
      </w:tr>
      <w:tr w:rsidR="00011A2B" w:rsidTr="00D4456B">
        <w:tc>
          <w:tcPr>
            <w:tcW w:w="1980" w:type="dxa"/>
            <w:shd w:val="clear" w:color="auto" w:fill="DEEAF6" w:themeFill="accent1" w:themeFillTint="33"/>
          </w:tcPr>
          <w:p w:rsidR="00011A2B" w:rsidRPr="00E11A27" w:rsidRDefault="00011A2B" w:rsidP="00D4456B">
            <w:pPr>
              <w:rPr>
                <w:b/>
              </w:rPr>
            </w:pPr>
            <w:r>
              <w:rPr>
                <w:b/>
              </w:rPr>
              <w:t>Hinda tõenäosust, et tegur avaldab prognoositud mõju</w:t>
            </w:r>
          </w:p>
        </w:tc>
        <w:tc>
          <w:tcPr>
            <w:tcW w:w="7082" w:type="dxa"/>
          </w:tcPr>
          <w:p w:rsidR="00011A2B" w:rsidRDefault="00011A2B" w:rsidP="00D4456B">
            <w:pPr>
              <w:jc w:val="both"/>
              <w:rPr>
                <w:i/>
              </w:rPr>
            </w:pPr>
            <w:r w:rsidRPr="009E0302">
              <w:rPr>
                <w:i/>
              </w:rPr>
              <w:t>1 – mõju e</w:t>
            </w:r>
            <w:r>
              <w:rPr>
                <w:i/>
              </w:rPr>
              <w:t>sinemine on suure tõenäosusega</w:t>
            </w:r>
          </w:p>
        </w:tc>
      </w:tr>
      <w:tr w:rsidR="00011A2B" w:rsidTr="00D4456B">
        <w:tc>
          <w:tcPr>
            <w:tcW w:w="1980" w:type="dxa"/>
            <w:shd w:val="clear" w:color="auto" w:fill="DEEAF6" w:themeFill="accent1" w:themeFillTint="33"/>
          </w:tcPr>
          <w:p w:rsidR="00011A2B" w:rsidRDefault="00011A2B" w:rsidP="00D4456B">
            <w:pPr>
              <w:rPr>
                <w:b/>
              </w:rPr>
            </w:pPr>
            <w:r>
              <w:rPr>
                <w:b/>
              </w:rPr>
              <w:t>Kas teguri analüüsiks on vaja täiendavaid ekspertarvamusi</w:t>
            </w:r>
          </w:p>
        </w:tc>
        <w:tc>
          <w:tcPr>
            <w:tcW w:w="7082" w:type="dxa"/>
          </w:tcPr>
          <w:p w:rsidR="00011A2B" w:rsidRDefault="00011A2B" w:rsidP="00D4456B">
            <w:pPr>
              <w:jc w:val="both"/>
              <w:rPr>
                <w:i/>
              </w:rPr>
            </w:pPr>
            <w:r>
              <w:rPr>
                <w:i/>
              </w:rPr>
              <w:t>Jah</w:t>
            </w:r>
          </w:p>
        </w:tc>
      </w:tr>
    </w:tbl>
    <w:p w:rsidR="00011A2B" w:rsidRDefault="00011A2B" w:rsidP="00011A2B">
      <w:pPr>
        <w:spacing w:line="240" w:lineRule="auto"/>
        <w:jc w:val="both"/>
      </w:pPr>
    </w:p>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E11A27" w:rsidRDefault="00011A2B" w:rsidP="00D4456B">
            <w:pPr>
              <w:rPr>
                <w:b/>
              </w:rPr>
            </w:pPr>
            <w:r>
              <w:rPr>
                <w:b/>
              </w:rPr>
              <w:t>Tegur 4</w:t>
            </w:r>
          </w:p>
        </w:tc>
        <w:tc>
          <w:tcPr>
            <w:tcW w:w="7082" w:type="dxa"/>
          </w:tcPr>
          <w:p w:rsidR="00011A2B" w:rsidRDefault="00011A2B" w:rsidP="00D4456B">
            <w:pPr>
              <w:jc w:val="both"/>
              <w:rPr>
                <w:i/>
              </w:rPr>
            </w:pPr>
            <w:r>
              <w:rPr>
                <w:i/>
              </w:rPr>
              <w:t>Tehnoloogiline keskkond</w:t>
            </w:r>
          </w:p>
        </w:tc>
      </w:tr>
      <w:tr w:rsidR="00011A2B" w:rsidTr="00D4456B">
        <w:trPr>
          <w:trHeight w:val="1442"/>
        </w:trPr>
        <w:tc>
          <w:tcPr>
            <w:tcW w:w="1980" w:type="dxa"/>
            <w:shd w:val="clear" w:color="auto" w:fill="DEEAF6" w:themeFill="accent1" w:themeFillTint="33"/>
          </w:tcPr>
          <w:p w:rsidR="00011A2B" w:rsidRPr="00E11A27" w:rsidRDefault="00011A2B" w:rsidP="00D4456B">
            <w:pPr>
              <w:rPr>
                <w:b/>
              </w:rPr>
            </w:pPr>
            <w:r>
              <w:rPr>
                <w:b/>
              </w:rPr>
              <w:lastRenderedPageBreak/>
              <w:t>Kirjelda teguri mõju alavaldkonnale</w:t>
            </w:r>
          </w:p>
        </w:tc>
        <w:tc>
          <w:tcPr>
            <w:tcW w:w="7082" w:type="dxa"/>
          </w:tcPr>
          <w:p w:rsidR="00011A2B" w:rsidRDefault="006927B8" w:rsidP="00D4456B">
            <w:pPr>
              <w:jc w:val="both"/>
              <w:rPr>
                <w:i/>
              </w:rPr>
            </w:pPr>
            <w:r>
              <w:rPr>
                <w:i/>
              </w:rPr>
              <w:t xml:space="preserve">Tehnoloogia suurenev roll muudab elanike tööharjumust, sealjuures kaugtöö osakaalu. Vabaühendustel on senisest enam vaja kaasaegseid tehnoloogiaid, et suhelda sihtgrupi ja avaliku sektoriga. </w:t>
            </w:r>
          </w:p>
        </w:tc>
      </w:tr>
      <w:tr w:rsidR="00011A2B" w:rsidTr="006927B8">
        <w:trPr>
          <w:trHeight w:val="4189"/>
        </w:trPr>
        <w:tc>
          <w:tcPr>
            <w:tcW w:w="1980" w:type="dxa"/>
            <w:shd w:val="clear" w:color="auto" w:fill="DEEAF6" w:themeFill="accent1" w:themeFillTint="33"/>
          </w:tcPr>
          <w:p w:rsidR="00011A2B" w:rsidRPr="002B23DA" w:rsidRDefault="00011A2B" w:rsidP="00D4456B">
            <w:r>
              <w:rPr>
                <w:b/>
              </w:rPr>
              <w:t>Hinnang teguri 4</w:t>
            </w:r>
            <w:r w:rsidRPr="00E11A27">
              <w:rPr>
                <w:b/>
              </w:rPr>
              <w:t xml:space="preserve"> hetkeseisule </w:t>
            </w:r>
            <w:r w:rsidRPr="002B23DA">
              <w:t xml:space="preserve">(statistika, mis on olnud kitsaskohad ja olulisimad edusammud perioodil </w:t>
            </w:r>
          </w:p>
          <w:p w:rsidR="00011A2B" w:rsidRPr="00E11A27" w:rsidRDefault="00011A2B" w:rsidP="00D4456B">
            <w:pPr>
              <w:rPr>
                <w:b/>
              </w:rPr>
            </w:pPr>
            <w:r w:rsidRPr="002B23DA">
              <w:t>2015–2017 seoses teguriga. Vajaduse korral võib arvesse võtta pikemat perioodi!)</w:t>
            </w:r>
          </w:p>
        </w:tc>
        <w:tc>
          <w:tcPr>
            <w:tcW w:w="7082" w:type="dxa"/>
          </w:tcPr>
          <w:p w:rsidR="00011A2B" w:rsidRDefault="00011A2B" w:rsidP="00D4456B">
            <w:pPr>
              <w:jc w:val="both"/>
              <w:rPr>
                <w:i/>
              </w:rPr>
            </w:pPr>
          </w:p>
          <w:p w:rsidR="006927B8" w:rsidRDefault="00011A2B" w:rsidP="006927B8">
            <w:pPr>
              <w:jc w:val="both"/>
              <w:rPr>
                <w:i/>
              </w:rPr>
            </w:pPr>
            <w:r w:rsidRPr="00EB7662">
              <w:rPr>
                <w:i/>
              </w:rPr>
              <w:t>Senist arenguedu on oluliselt toetanud ka vaba ja avatud interneti eest seismine nii Eestis kui ka rahvusvaheliselt. Freedom House’i järgi on Eesti maailmas internetivabaduse ja avatuse poolest esirinnas</w:t>
            </w:r>
            <w:r>
              <w:rPr>
                <w:i/>
              </w:rPr>
              <w:t>.</w:t>
            </w:r>
          </w:p>
          <w:p w:rsidR="006927B8" w:rsidRDefault="006927B8" w:rsidP="006927B8">
            <w:pPr>
              <w:jc w:val="both"/>
              <w:rPr>
                <w:i/>
              </w:rPr>
            </w:pPr>
            <w:r w:rsidRPr="009359B0">
              <w:rPr>
                <w:i/>
              </w:rPr>
              <w:t>Tegevuste tulemusel on suurenenud inimeste suutlikkus uudsete osalemismeetodite (rahvaalgatus.ee) kaudu poliitikas osaleda, sh märgukirju saata ning internetikeskkonnas arutelusid ja ettepanekuid algatada. Samuti on uuendatud eelnõude infosüsteemi avatud valitsemise partnerluse raames. Uuendatud infosüsteemis on võimalik tellida teavitus eelnõude infosüsteemi lisamise kohta.</w:t>
            </w:r>
          </w:p>
          <w:p w:rsidR="00011A2B" w:rsidRDefault="00011A2B" w:rsidP="00D4456B">
            <w:pPr>
              <w:jc w:val="both"/>
              <w:rPr>
                <w:i/>
              </w:rPr>
            </w:pPr>
          </w:p>
        </w:tc>
      </w:tr>
      <w:tr w:rsidR="00011A2B" w:rsidTr="00D4456B">
        <w:tc>
          <w:tcPr>
            <w:tcW w:w="1980" w:type="dxa"/>
            <w:shd w:val="clear" w:color="auto" w:fill="DEEAF6" w:themeFill="accent1" w:themeFillTint="33"/>
          </w:tcPr>
          <w:p w:rsidR="00011A2B" w:rsidRDefault="00011A2B" w:rsidP="00D4456B">
            <w:pPr>
              <w:rPr>
                <w:b/>
              </w:rPr>
            </w:pPr>
            <w:r>
              <w:rPr>
                <w:b/>
              </w:rPr>
              <w:t>Prognoos teguri 4</w:t>
            </w:r>
            <w:r w:rsidRPr="00E11A27">
              <w:rPr>
                <w:b/>
              </w:rPr>
              <w:t xml:space="preserve"> </w:t>
            </w:r>
            <w:r>
              <w:rPr>
                <w:b/>
              </w:rPr>
              <w:t xml:space="preserve">arengute </w:t>
            </w:r>
            <w:r w:rsidRPr="00E11A27">
              <w:rPr>
                <w:b/>
              </w:rPr>
              <w:t>osas</w:t>
            </w:r>
            <w:r>
              <w:rPr>
                <w:b/>
              </w:rPr>
              <w:t xml:space="preserve"> ja edasise mõju osas valdkonnale</w:t>
            </w:r>
          </w:p>
        </w:tc>
        <w:tc>
          <w:tcPr>
            <w:tcW w:w="7082" w:type="dxa"/>
          </w:tcPr>
          <w:p w:rsidR="00011A2B" w:rsidRDefault="006927B8" w:rsidP="00D4456B">
            <w:pPr>
              <w:jc w:val="both"/>
              <w:rPr>
                <w:i/>
              </w:rPr>
            </w:pPr>
            <w:r>
              <w:rPr>
                <w:i/>
              </w:rPr>
              <w:t xml:space="preserve">Tehnoloogia areng muudab kaasamise ja osalemise võimalusi ja võimekust vabaühendustes ning võib senisest enam suurendada lõhet arenenud ja vähemarenenud piirkondade ja vabaühenduste vahel. </w:t>
            </w:r>
          </w:p>
        </w:tc>
      </w:tr>
      <w:tr w:rsidR="00011A2B" w:rsidTr="00D4456B">
        <w:tc>
          <w:tcPr>
            <w:tcW w:w="1980" w:type="dxa"/>
            <w:shd w:val="clear" w:color="auto" w:fill="DEEAF6" w:themeFill="accent1" w:themeFillTint="33"/>
          </w:tcPr>
          <w:p w:rsidR="00011A2B" w:rsidRDefault="00011A2B" w:rsidP="00D4456B">
            <w:pPr>
              <w:rPr>
                <w:b/>
              </w:rPr>
            </w:pPr>
            <w:r>
              <w:rPr>
                <w:b/>
              </w:rPr>
              <w:t xml:space="preserve">Hinda teguri suhtelist olulisust valdkonnale </w:t>
            </w:r>
            <w:r w:rsidRPr="008F7B74">
              <w:rPr>
                <w:b/>
              </w:rPr>
              <w:t>ja põhjenda lühidalt</w:t>
            </w:r>
          </w:p>
        </w:tc>
        <w:tc>
          <w:tcPr>
            <w:tcW w:w="7082" w:type="dxa"/>
          </w:tcPr>
          <w:p w:rsidR="00011A2B" w:rsidRDefault="00011A2B" w:rsidP="00D4456B">
            <w:pPr>
              <w:jc w:val="both"/>
              <w:rPr>
                <w:i/>
              </w:rPr>
            </w:pPr>
            <w:r>
              <w:rPr>
                <w:i/>
              </w:rPr>
              <w:t>1 – väga oluline</w:t>
            </w:r>
          </w:p>
        </w:tc>
      </w:tr>
      <w:tr w:rsidR="00011A2B" w:rsidTr="00D4456B">
        <w:tc>
          <w:tcPr>
            <w:tcW w:w="1980" w:type="dxa"/>
            <w:shd w:val="clear" w:color="auto" w:fill="DEEAF6" w:themeFill="accent1" w:themeFillTint="33"/>
          </w:tcPr>
          <w:p w:rsidR="00011A2B" w:rsidRPr="00E11A27" w:rsidRDefault="00011A2B" w:rsidP="00D4456B">
            <w:pPr>
              <w:rPr>
                <w:b/>
              </w:rPr>
            </w:pPr>
            <w:r>
              <w:rPr>
                <w:b/>
              </w:rPr>
              <w:t>Hinda tõenäosust, et tegur avaldab prognoositud mõju</w:t>
            </w:r>
          </w:p>
        </w:tc>
        <w:tc>
          <w:tcPr>
            <w:tcW w:w="7082" w:type="dxa"/>
          </w:tcPr>
          <w:p w:rsidR="00011A2B" w:rsidRDefault="00011A2B" w:rsidP="00D4456B">
            <w:pPr>
              <w:jc w:val="both"/>
              <w:rPr>
                <w:i/>
              </w:rPr>
            </w:pPr>
            <w:r w:rsidRPr="009E0302">
              <w:rPr>
                <w:i/>
              </w:rPr>
              <w:t>1 – mõju e</w:t>
            </w:r>
            <w:r>
              <w:rPr>
                <w:i/>
              </w:rPr>
              <w:t>sinemine on suure tõenäosusega</w:t>
            </w:r>
          </w:p>
        </w:tc>
      </w:tr>
      <w:tr w:rsidR="00011A2B" w:rsidTr="00D4456B">
        <w:tc>
          <w:tcPr>
            <w:tcW w:w="1980" w:type="dxa"/>
            <w:shd w:val="clear" w:color="auto" w:fill="DEEAF6" w:themeFill="accent1" w:themeFillTint="33"/>
          </w:tcPr>
          <w:p w:rsidR="00011A2B" w:rsidRDefault="00011A2B" w:rsidP="00D4456B">
            <w:pPr>
              <w:rPr>
                <w:b/>
              </w:rPr>
            </w:pPr>
            <w:r>
              <w:rPr>
                <w:b/>
              </w:rPr>
              <w:t>Kas teguri analüüsiks on vaja täiendavaid ekspertarvamusi</w:t>
            </w:r>
          </w:p>
        </w:tc>
        <w:tc>
          <w:tcPr>
            <w:tcW w:w="7082" w:type="dxa"/>
          </w:tcPr>
          <w:p w:rsidR="00011A2B" w:rsidRDefault="00011A2B" w:rsidP="00D4456B">
            <w:pPr>
              <w:jc w:val="both"/>
              <w:rPr>
                <w:i/>
              </w:rPr>
            </w:pPr>
            <w:r>
              <w:rPr>
                <w:i/>
              </w:rPr>
              <w:t>Jah</w:t>
            </w:r>
          </w:p>
        </w:tc>
      </w:tr>
    </w:tbl>
    <w:p w:rsidR="00011A2B" w:rsidRDefault="00011A2B" w:rsidP="00011A2B">
      <w:pPr>
        <w:spacing w:line="240" w:lineRule="auto"/>
        <w:jc w:val="both"/>
      </w:pPr>
    </w:p>
    <w:tbl>
      <w:tblPr>
        <w:tblStyle w:val="TableGrid"/>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E11A27" w:rsidRDefault="00011A2B" w:rsidP="00D4456B">
            <w:pPr>
              <w:rPr>
                <w:b/>
              </w:rPr>
            </w:pPr>
            <w:r>
              <w:rPr>
                <w:b/>
              </w:rPr>
              <w:t>Tegur 5</w:t>
            </w:r>
          </w:p>
        </w:tc>
        <w:tc>
          <w:tcPr>
            <w:tcW w:w="7082" w:type="dxa"/>
          </w:tcPr>
          <w:p w:rsidR="00011A2B" w:rsidRDefault="006927B8" w:rsidP="00D4456B">
            <w:pPr>
              <w:jc w:val="both"/>
              <w:rPr>
                <w:i/>
              </w:rPr>
            </w:pPr>
            <w:r>
              <w:rPr>
                <w:i/>
              </w:rPr>
              <w:t>Ökoloogiline keskkond</w:t>
            </w:r>
          </w:p>
        </w:tc>
      </w:tr>
      <w:tr w:rsidR="00011A2B" w:rsidTr="00D4456B">
        <w:tc>
          <w:tcPr>
            <w:tcW w:w="1980" w:type="dxa"/>
            <w:shd w:val="clear" w:color="auto" w:fill="DEEAF6" w:themeFill="accent1" w:themeFillTint="33"/>
          </w:tcPr>
          <w:p w:rsidR="00011A2B" w:rsidRPr="00E11A27" w:rsidRDefault="00011A2B" w:rsidP="00D4456B">
            <w:pPr>
              <w:rPr>
                <w:b/>
              </w:rPr>
            </w:pPr>
            <w:r>
              <w:rPr>
                <w:b/>
              </w:rPr>
              <w:t>Kirjelda teguri mõju alavaldkonnale</w:t>
            </w:r>
          </w:p>
        </w:tc>
        <w:tc>
          <w:tcPr>
            <w:tcW w:w="7082" w:type="dxa"/>
          </w:tcPr>
          <w:p w:rsidR="00011A2B" w:rsidRDefault="006927B8" w:rsidP="00D4456B">
            <w:pPr>
              <w:jc w:val="both"/>
              <w:rPr>
                <w:i/>
              </w:rPr>
            </w:pPr>
            <w:r>
              <w:rPr>
                <w:i/>
              </w:rPr>
              <w:t xml:space="preserve">Jätkusuutlikku keskkonna loomine ja rohelise mõtteviisi levik suurendavad keskkonnasäästliku käitumisega kokkupuutuvate vabaühenduste hulka. Huvikaitsetegevustes saavad keskkonnaorganisatsioonid senisest enam tähelepanu. </w:t>
            </w:r>
          </w:p>
        </w:tc>
      </w:tr>
      <w:tr w:rsidR="00011A2B" w:rsidTr="00D4456B">
        <w:tc>
          <w:tcPr>
            <w:tcW w:w="1980" w:type="dxa"/>
            <w:shd w:val="clear" w:color="auto" w:fill="DEEAF6" w:themeFill="accent1" w:themeFillTint="33"/>
          </w:tcPr>
          <w:p w:rsidR="00011A2B" w:rsidRPr="002B23DA" w:rsidRDefault="00011A2B" w:rsidP="00D4456B">
            <w:r>
              <w:rPr>
                <w:b/>
              </w:rPr>
              <w:t>Hinnang teguri 5</w:t>
            </w:r>
            <w:r w:rsidRPr="00E11A27">
              <w:rPr>
                <w:b/>
              </w:rPr>
              <w:t xml:space="preserve"> hetkeseisule </w:t>
            </w:r>
            <w:r w:rsidRPr="002B23DA">
              <w:lastRenderedPageBreak/>
              <w:t xml:space="preserve">(statistika, mis on olnud kitsaskohad ja olulisimad edusammud perioodil </w:t>
            </w:r>
          </w:p>
          <w:p w:rsidR="00011A2B" w:rsidRPr="00E11A27" w:rsidRDefault="00011A2B" w:rsidP="00D4456B">
            <w:pPr>
              <w:rPr>
                <w:b/>
              </w:rPr>
            </w:pPr>
            <w:r w:rsidRPr="002B23DA">
              <w:t>2015–2017 seoses teguriga. Vajaduse korral võib arvesse võtta pikemat perioodi!)</w:t>
            </w:r>
          </w:p>
        </w:tc>
        <w:tc>
          <w:tcPr>
            <w:tcW w:w="7082" w:type="dxa"/>
          </w:tcPr>
          <w:p w:rsidR="00011A2B" w:rsidRDefault="006927B8" w:rsidP="00D4456B">
            <w:pPr>
              <w:jc w:val="both"/>
              <w:rPr>
                <w:i/>
              </w:rPr>
            </w:pPr>
            <w:r>
              <w:rPr>
                <w:i/>
              </w:rPr>
              <w:lastRenderedPageBreak/>
              <w:t>Valminud on rohevõrgustiku planeerimisjuhend, mille eesm</w:t>
            </w:r>
            <w:r>
              <w:t xml:space="preserve">ärk on anda eelkõige kohalikele omavalitsustele sisulisi ja tehnilisi soovitusi </w:t>
            </w:r>
            <w:r>
              <w:lastRenderedPageBreak/>
              <w:t>üldplaneeringu koostamisel rohevõrgustiku planeerimiseks. Juhendis antakse ülevaate rohevõrgustiku olemusest, eesmärkidest ja ülesannetest ning tutvustatakse ökosüsteemse lähenemise ja ökosüsteemiteenuste kontseptsiooni rohevõrgustiku planeerimise kontekstis. Peamine fookus on elurikkuse kaitsel ja säilitamisel, kliimamuutuste leevendamisel ja nendega kohanemisel ning rohemajanduse, sh puhkemajanduse, edendamisel.</w:t>
            </w:r>
          </w:p>
        </w:tc>
      </w:tr>
      <w:tr w:rsidR="00011A2B" w:rsidTr="00D4456B">
        <w:tc>
          <w:tcPr>
            <w:tcW w:w="1980" w:type="dxa"/>
            <w:shd w:val="clear" w:color="auto" w:fill="DEEAF6" w:themeFill="accent1" w:themeFillTint="33"/>
          </w:tcPr>
          <w:p w:rsidR="00011A2B" w:rsidRDefault="00011A2B" w:rsidP="00D4456B">
            <w:pPr>
              <w:rPr>
                <w:b/>
              </w:rPr>
            </w:pPr>
            <w:r>
              <w:rPr>
                <w:b/>
              </w:rPr>
              <w:lastRenderedPageBreak/>
              <w:t xml:space="preserve">Prognoos teguri 5 arengute </w:t>
            </w:r>
            <w:r w:rsidRPr="00E11A27">
              <w:rPr>
                <w:b/>
              </w:rPr>
              <w:t>osas</w:t>
            </w:r>
            <w:r>
              <w:rPr>
                <w:b/>
              </w:rPr>
              <w:t xml:space="preserve"> ja edasise mõju osas valdkonnale</w:t>
            </w:r>
          </w:p>
        </w:tc>
        <w:tc>
          <w:tcPr>
            <w:tcW w:w="7082" w:type="dxa"/>
          </w:tcPr>
          <w:p w:rsidR="00011A2B" w:rsidRDefault="00011A2B" w:rsidP="00D4456B">
            <w:pPr>
              <w:jc w:val="both"/>
              <w:rPr>
                <w:i/>
              </w:rPr>
            </w:pPr>
          </w:p>
        </w:tc>
      </w:tr>
      <w:tr w:rsidR="00011A2B" w:rsidTr="00D4456B">
        <w:tc>
          <w:tcPr>
            <w:tcW w:w="1980" w:type="dxa"/>
            <w:shd w:val="clear" w:color="auto" w:fill="DEEAF6" w:themeFill="accent1" w:themeFillTint="33"/>
          </w:tcPr>
          <w:p w:rsidR="00011A2B" w:rsidRDefault="00011A2B" w:rsidP="00D4456B">
            <w:pPr>
              <w:rPr>
                <w:b/>
              </w:rPr>
            </w:pPr>
            <w:r>
              <w:rPr>
                <w:b/>
              </w:rPr>
              <w:t xml:space="preserve">Hinda teguri suhtelist olulisust valdkonnale </w:t>
            </w:r>
            <w:r w:rsidRPr="008F7B74">
              <w:rPr>
                <w:b/>
              </w:rPr>
              <w:t>ja põhjenda lühidalt</w:t>
            </w:r>
          </w:p>
        </w:tc>
        <w:tc>
          <w:tcPr>
            <w:tcW w:w="7082" w:type="dxa"/>
          </w:tcPr>
          <w:p w:rsidR="00011A2B" w:rsidRDefault="00011A2B" w:rsidP="006927B8">
            <w:pPr>
              <w:jc w:val="both"/>
              <w:rPr>
                <w:i/>
              </w:rPr>
            </w:pPr>
            <w:r>
              <w:rPr>
                <w:i/>
              </w:rPr>
              <w:t>1 – väga oluline</w:t>
            </w:r>
            <w:r w:rsidRPr="009E0302">
              <w:rPr>
                <w:i/>
              </w:rPr>
              <w:t>;</w:t>
            </w:r>
            <w:r w:rsidR="006927B8">
              <w:rPr>
                <w:i/>
              </w:rPr>
              <w:t xml:space="preserve"> </w:t>
            </w:r>
          </w:p>
        </w:tc>
      </w:tr>
      <w:tr w:rsidR="00011A2B" w:rsidTr="00D4456B">
        <w:tc>
          <w:tcPr>
            <w:tcW w:w="1980" w:type="dxa"/>
            <w:shd w:val="clear" w:color="auto" w:fill="DEEAF6" w:themeFill="accent1" w:themeFillTint="33"/>
          </w:tcPr>
          <w:p w:rsidR="00011A2B" w:rsidRPr="00E11A27" w:rsidRDefault="00011A2B" w:rsidP="00D4456B">
            <w:pPr>
              <w:rPr>
                <w:b/>
              </w:rPr>
            </w:pPr>
            <w:r>
              <w:rPr>
                <w:b/>
              </w:rPr>
              <w:t>Hinda tõenäosust, et tegur avaldab prognoositud mõju</w:t>
            </w:r>
          </w:p>
        </w:tc>
        <w:tc>
          <w:tcPr>
            <w:tcW w:w="7082" w:type="dxa"/>
          </w:tcPr>
          <w:p w:rsidR="00011A2B" w:rsidRDefault="00011A2B" w:rsidP="006927B8">
            <w:pPr>
              <w:jc w:val="both"/>
              <w:rPr>
                <w:i/>
              </w:rPr>
            </w:pPr>
            <w:r w:rsidRPr="009E0302">
              <w:rPr>
                <w:i/>
              </w:rPr>
              <w:t>1 – mõju e</w:t>
            </w:r>
            <w:r w:rsidR="006927B8">
              <w:rPr>
                <w:i/>
              </w:rPr>
              <w:t>sinemine on suure tõenäosusega</w:t>
            </w:r>
          </w:p>
        </w:tc>
      </w:tr>
      <w:tr w:rsidR="00011A2B" w:rsidTr="00D4456B">
        <w:tc>
          <w:tcPr>
            <w:tcW w:w="1980" w:type="dxa"/>
            <w:shd w:val="clear" w:color="auto" w:fill="DEEAF6" w:themeFill="accent1" w:themeFillTint="33"/>
          </w:tcPr>
          <w:p w:rsidR="00011A2B" w:rsidRDefault="00011A2B" w:rsidP="00D4456B">
            <w:pPr>
              <w:rPr>
                <w:b/>
              </w:rPr>
            </w:pPr>
            <w:r>
              <w:rPr>
                <w:b/>
              </w:rPr>
              <w:t>Kas teguri analüüsiks on vaja täiendavaid ekspertarvamusi</w:t>
            </w:r>
          </w:p>
        </w:tc>
        <w:tc>
          <w:tcPr>
            <w:tcW w:w="7082" w:type="dxa"/>
          </w:tcPr>
          <w:p w:rsidR="00011A2B" w:rsidRDefault="006927B8" w:rsidP="00D4456B">
            <w:pPr>
              <w:jc w:val="both"/>
              <w:rPr>
                <w:i/>
              </w:rPr>
            </w:pPr>
            <w:r>
              <w:rPr>
                <w:i/>
              </w:rPr>
              <w:t>JAH</w:t>
            </w:r>
          </w:p>
        </w:tc>
      </w:tr>
    </w:tbl>
    <w:p w:rsidR="00011A2B" w:rsidRPr="00B46CB8" w:rsidRDefault="00011A2B" w:rsidP="00011A2B"/>
    <w:p w:rsidR="00011A2B" w:rsidRDefault="00923F94" w:rsidP="00011A2B">
      <w:pPr>
        <w:pStyle w:val="Heading2"/>
      </w:pPr>
      <w:r>
        <w:t>2</w:t>
      </w:r>
      <w:r w:rsidR="00011A2B">
        <w:t xml:space="preserve">. Alavaldkonna SWOT analüüs </w:t>
      </w:r>
      <w:r w:rsidR="00011A2B" w:rsidRPr="00020F9B">
        <w:t>(täidab: poliitikaosakond</w:t>
      </w:r>
      <w:r w:rsidR="00011A2B">
        <w:t>, asutus</w:t>
      </w:r>
      <w:r w:rsidR="00011A2B" w:rsidRPr="00020F9B">
        <w:t>)</w:t>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3"/>
        <w:gridCol w:w="6799"/>
      </w:tblGrid>
      <w:tr w:rsidR="00011A2B" w:rsidTr="00D4456B">
        <w:tc>
          <w:tcPr>
            <w:tcW w:w="9062" w:type="dxa"/>
            <w:gridSpan w:val="2"/>
            <w:shd w:val="clear" w:color="auto" w:fill="DEEAF6" w:themeFill="accent1" w:themeFillTint="33"/>
          </w:tcPr>
          <w:p w:rsidR="00011A2B" w:rsidRPr="00BB6DEF" w:rsidRDefault="00011A2B" w:rsidP="00D4456B">
            <w:pPr>
              <w:rPr>
                <w:b/>
              </w:rPr>
            </w:pPr>
            <w:r w:rsidRPr="00641310">
              <w:rPr>
                <w:b/>
              </w:rPr>
              <w:t>Ki</w:t>
            </w:r>
            <w:r>
              <w:rPr>
                <w:b/>
              </w:rPr>
              <w:t>rjeldada alavaldkonna sisemisi tugevusi (kuidas tugevused avalduvad)</w:t>
            </w:r>
          </w:p>
        </w:tc>
      </w:tr>
      <w:tr w:rsidR="00011A2B" w:rsidTr="00D4456B">
        <w:tc>
          <w:tcPr>
            <w:tcW w:w="2263" w:type="dxa"/>
            <w:shd w:val="clear" w:color="auto" w:fill="DEEAF6" w:themeFill="accent1" w:themeFillTint="33"/>
          </w:tcPr>
          <w:p w:rsidR="00011A2B" w:rsidRPr="00BB6DEF" w:rsidRDefault="00011A2B" w:rsidP="00D4456B">
            <w:pPr>
              <w:rPr>
                <w:b/>
              </w:rPr>
            </w:pPr>
            <w:r w:rsidRPr="00BB6DEF">
              <w:rPr>
                <w:b/>
              </w:rPr>
              <w:t>Tugevus</w:t>
            </w:r>
          </w:p>
        </w:tc>
        <w:tc>
          <w:tcPr>
            <w:tcW w:w="6799" w:type="dxa"/>
            <w:shd w:val="clear" w:color="auto" w:fill="DEEAF6" w:themeFill="accent1" w:themeFillTint="33"/>
          </w:tcPr>
          <w:p w:rsidR="00011A2B" w:rsidRPr="00BB6DEF" w:rsidRDefault="00011A2B" w:rsidP="00D4456B">
            <w:pPr>
              <w:rPr>
                <w:b/>
              </w:rPr>
            </w:pPr>
            <w:r w:rsidRPr="00BB6DEF">
              <w:rPr>
                <w:b/>
              </w:rPr>
              <w:t>Kirjeldus</w:t>
            </w:r>
          </w:p>
        </w:tc>
      </w:tr>
      <w:tr w:rsidR="00011A2B" w:rsidTr="00D4456B">
        <w:tc>
          <w:tcPr>
            <w:tcW w:w="2263" w:type="dxa"/>
          </w:tcPr>
          <w:p w:rsidR="00011A2B" w:rsidRDefault="00011A2B" w:rsidP="00D4456B">
            <w:r>
              <w:t>Eesti on väike ja paindlik riik</w:t>
            </w:r>
          </w:p>
        </w:tc>
        <w:tc>
          <w:tcPr>
            <w:tcW w:w="6799" w:type="dxa"/>
          </w:tcPr>
          <w:p w:rsidR="00011A2B" w:rsidRDefault="00011A2B" w:rsidP="00D4456B">
            <w:r>
              <w:t>Kuna Eesti on väike riik, siis on võimalik suhteliselt kiiresti ja paindlikult õigusakte muuta. Samuti on lihtsam ellu viia uusi tehnilisi lahendusi, kuna inimesi  on vähe ning muudatustega tullakse kaasa ja nendega harjutakse kiiremini.</w:t>
            </w:r>
            <w:r w:rsidR="003C31F3">
              <w:t xml:space="preserve"> </w:t>
            </w:r>
          </w:p>
        </w:tc>
      </w:tr>
      <w:tr w:rsidR="00011A2B" w:rsidTr="00D4456B">
        <w:tc>
          <w:tcPr>
            <w:tcW w:w="2263" w:type="dxa"/>
          </w:tcPr>
          <w:p w:rsidR="00011A2B" w:rsidRDefault="00011A2B" w:rsidP="00D4456B">
            <w:r>
              <w:t>Eesti on e-riik</w:t>
            </w:r>
          </w:p>
        </w:tc>
        <w:tc>
          <w:tcPr>
            <w:tcW w:w="6799" w:type="dxa"/>
          </w:tcPr>
          <w:p w:rsidR="00011A2B" w:rsidRDefault="00011A2B" w:rsidP="003C31F3">
            <w:r>
              <w:t xml:space="preserve">Kuna Eestil on juba pikk e-riigi kogemus, on olemasoleva pinnalt lihtsam arendada e-teenuseid. </w:t>
            </w:r>
            <w:r w:rsidR="003C31F3">
              <w:t>MTÜde registreerimine on lihtne ja kiire.</w:t>
            </w:r>
          </w:p>
        </w:tc>
      </w:tr>
      <w:tr w:rsidR="00011A2B" w:rsidTr="00D4456B">
        <w:tc>
          <w:tcPr>
            <w:tcW w:w="2263" w:type="dxa"/>
          </w:tcPr>
          <w:p w:rsidR="00011A2B" w:rsidRDefault="00011A2B" w:rsidP="00D4456B">
            <w:r>
              <w:t>Inimesed on harjunud e-teenuseid kasutama</w:t>
            </w:r>
          </w:p>
        </w:tc>
        <w:tc>
          <w:tcPr>
            <w:tcW w:w="6799" w:type="dxa"/>
          </w:tcPr>
          <w:p w:rsidR="00011A2B" w:rsidRDefault="00011A2B" w:rsidP="00D4456B">
            <w:r>
              <w:t xml:space="preserve">Inimesed on harjunud e-teenuseid kasutama, nad oskavad kasutada IKT-d ning nad on teadlikud e-keskkonna riskidest ning oskavad neid vältida. </w:t>
            </w:r>
            <w:r w:rsidRPr="00707DAE">
              <w:t xml:space="preserve">Nii </w:t>
            </w:r>
            <w:r w:rsidRPr="00707DAE">
              <w:lastRenderedPageBreak/>
              <w:t>kodanikud kui ka ettevõtjad leiavad, et avalikud e-teenused aitavad neil säästa raha ja aega</w:t>
            </w:r>
            <w:r>
              <w:t xml:space="preserve">. </w:t>
            </w:r>
          </w:p>
        </w:tc>
      </w:tr>
      <w:tr w:rsidR="00011A2B" w:rsidTr="00D4456B">
        <w:tc>
          <w:tcPr>
            <w:tcW w:w="2263" w:type="dxa"/>
          </w:tcPr>
          <w:p w:rsidR="00011A2B" w:rsidRDefault="00011A2B" w:rsidP="00D4456B">
            <w:r>
              <w:lastRenderedPageBreak/>
              <w:t>Internet on kättesaadav</w:t>
            </w:r>
          </w:p>
        </w:tc>
        <w:tc>
          <w:tcPr>
            <w:tcW w:w="6799" w:type="dxa"/>
          </w:tcPr>
          <w:p w:rsidR="00011A2B" w:rsidRDefault="00011A2B" w:rsidP="00D4456B">
            <w:r w:rsidRPr="00707DAE">
              <w:t>2011. aastal oli interneti püsiühendus kättesaadav 93,9% Eesti elanikest. Ka internetikasutus on Eestis suhteliselt suur: 2013. aastal kasutas internetti 80% 16–74aastastest elanikest. Noorte seas on internetikasutus peaaegu 100%.</w:t>
            </w:r>
          </w:p>
        </w:tc>
      </w:tr>
      <w:tr w:rsidR="00011A2B" w:rsidTr="00D4456B">
        <w:tc>
          <w:tcPr>
            <w:tcW w:w="2263" w:type="dxa"/>
          </w:tcPr>
          <w:p w:rsidR="00011A2B" w:rsidRDefault="003C31F3" w:rsidP="00D4456B">
            <w:r>
              <w:t>Eestis on ühinemisvabadus</w:t>
            </w:r>
          </w:p>
        </w:tc>
        <w:tc>
          <w:tcPr>
            <w:tcW w:w="6799" w:type="dxa"/>
          </w:tcPr>
          <w:p w:rsidR="00011A2B" w:rsidRDefault="003C31F3" w:rsidP="00D4456B">
            <w:r>
              <w:t>E</w:t>
            </w:r>
            <w:r w:rsidRPr="003C31F3">
              <w:t xml:space="preserve">lanikel </w:t>
            </w:r>
            <w:r>
              <w:t xml:space="preserve">on </w:t>
            </w:r>
            <w:r w:rsidRPr="003C31F3">
              <w:t>võimalus ühiskonnaelus vabalt osaleda ning enda jaoks olulistes asjades kaasa rääkida/panustada. Seminaril osalejate poolt väljatoodut kinnitab ka Mõttekoja Freedom House 2018. aasta raport , mis tõi välja, et globaalselt kuulub Eesti vabade riikide hulka ning ka Euroopa Liidu liikmesriike omavahel võrreldes on Eesti tulemus väga kõrge (94 punkti sajast), olles võrdväärne nt Saksamaa, Ühendkuningriigi tulemusega, parem teisest kahest Balti riigist (LT 91, LV 87), kuid jäädes veidi alla Põhjamaade tulemusele, mille tulemuseks oli maksimum võimalikust, ehk 100 punkti.</w:t>
            </w:r>
            <w:r>
              <w:t xml:space="preserve"> </w:t>
            </w:r>
            <w:r w:rsidRPr="003C31F3">
              <w:t>Eestis on palju kodanikuühendusi, mis tegutsevad väga erinevates valdkondades ning nende MTÜ-de osakaal, kes kaasavad oma tegevusse vabatahtlikke on üsna kõrge</w:t>
            </w:r>
          </w:p>
        </w:tc>
      </w:tr>
      <w:tr w:rsidR="003C31F3" w:rsidTr="00D4456B">
        <w:tc>
          <w:tcPr>
            <w:tcW w:w="2263" w:type="dxa"/>
          </w:tcPr>
          <w:p w:rsidR="003C31F3" w:rsidRDefault="00A604AD" w:rsidP="00D4456B">
            <w:r>
              <w:t>Huvigruppe kaasatakse otsuste tegemisse</w:t>
            </w:r>
          </w:p>
        </w:tc>
        <w:tc>
          <w:tcPr>
            <w:tcW w:w="6799" w:type="dxa"/>
          </w:tcPr>
          <w:p w:rsidR="003C31F3" w:rsidRDefault="00A604AD" w:rsidP="00A604AD">
            <w:r>
              <w:t xml:space="preserve">Esindusorganisatsioonid on riigile aktiivsed partnerid, osalusvõimaluste arv on aastatega suurenenud. </w:t>
            </w:r>
            <w:r w:rsidRPr="00A604AD">
              <w:t>üha enam suureneb mitteformaalsete võrgustike kaudu osalemine, mis mõjutab ka seda, kuidas osaletakse ühiskondlikes protsessides.</w:t>
            </w:r>
          </w:p>
        </w:tc>
      </w:tr>
      <w:tr w:rsidR="00A604AD" w:rsidTr="00D4456B">
        <w:tc>
          <w:tcPr>
            <w:tcW w:w="2263" w:type="dxa"/>
          </w:tcPr>
          <w:p w:rsidR="00A604AD" w:rsidRDefault="00A604AD" w:rsidP="00D4456B"/>
        </w:tc>
        <w:tc>
          <w:tcPr>
            <w:tcW w:w="6799" w:type="dxa"/>
          </w:tcPr>
          <w:p w:rsidR="00A604AD" w:rsidRDefault="00A604AD" w:rsidP="00D4456B"/>
        </w:tc>
      </w:tr>
    </w:tbl>
    <w:p w:rsidR="00011A2B" w:rsidRPr="00177FBF" w:rsidRDefault="00011A2B" w:rsidP="00011A2B">
      <w:pPr>
        <w:rPr>
          <w:sz w:val="18"/>
        </w:rPr>
      </w:pP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3"/>
        <w:gridCol w:w="6799"/>
      </w:tblGrid>
      <w:tr w:rsidR="00011A2B" w:rsidTr="00D4456B">
        <w:tc>
          <w:tcPr>
            <w:tcW w:w="9062" w:type="dxa"/>
            <w:gridSpan w:val="2"/>
            <w:shd w:val="clear" w:color="auto" w:fill="DEEAF6" w:themeFill="accent1" w:themeFillTint="33"/>
          </w:tcPr>
          <w:p w:rsidR="00011A2B" w:rsidRPr="00641310" w:rsidRDefault="00011A2B" w:rsidP="00D4456B">
            <w:pPr>
              <w:rPr>
                <w:b/>
              </w:rPr>
            </w:pPr>
            <w:r w:rsidRPr="00641310">
              <w:rPr>
                <w:b/>
              </w:rPr>
              <w:t>Kirjelda alavaldkonnaga seotud nõrkusi</w:t>
            </w:r>
          </w:p>
        </w:tc>
      </w:tr>
      <w:tr w:rsidR="00011A2B" w:rsidTr="00D4456B">
        <w:tc>
          <w:tcPr>
            <w:tcW w:w="2263" w:type="dxa"/>
            <w:shd w:val="clear" w:color="auto" w:fill="DEEAF6" w:themeFill="accent1" w:themeFillTint="33"/>
          </w:tcPr>
          <w:p w:rsidR="00011A2B" w:rsidRPr="004E4B8E" w:rsidRDefault="00011A2B" w:rsidP="00D4456B">
            <w:pPr>
              <w:rPr>
                <w:b/>
              </w:rPr>
            </w:pPr>
            <w:r w:rsidRPr="004E4B8E">
              <w:rPr>
                <w:b/>
              </w:rPr>
              <w:t>Nõrkus</w:t>
            </w:r>
          </w:p>
        </w:tc>
        <w:tc>
          <w:tcPr>
            <w:tcW w:w="6799" w:type="dxa"/>
            <w:shd w:val="clear" w:color="auto" w:fill="DEEAF6" w:themeFill="accent1" w:themeFillTint="33"/>
          </w:tcPr>
          <w:p w:rsidR="00011A2B" w:rsidRPr="004E4B8E" w:rsidRDefault="00011A2B" w:rsidP="00D4456B">
            <w:pPr>
              <w:rPr>
                <w:b/>
              </w:rPr>
            </w:pPr>
            <w:r w:rsidRPr="004E4B8E">
              <w:rPr>
                <w:b/>
              </w:rPr>
              <w:t>Kirjeldus</w:t>
            </w:r>
          </w:p>
        </w:tc>
      </w:tr>
      <w:tr w:rsidR="00011A2B" w:rsidTr="00D4456B">
        <w:tc>
          <w:tcPr>
            <w:tcW w:w="2263" w:type="dxa"/>
          </w:tcPr>
          <w:p w:rsidR="00011A2B" w:rsidRDefault="00011A2B" w:rsidP="00D4456B">
            <w:r>
              <w:t>Ressursipuudus</w:t>
            </w:r>
          </w:p>
        </w:tc>
        <w:tc>
          <w:tcPr>
            <w:tcW w:w="6799" w:type="dxa"/>
          </w:tcPr>
          <w:p w:rsidR="00011A2B" w:rsidRDefault="00A604AD" w:rsidP="00A604AD">
            <w:r>
              <w:t>Kui ühelt poolt on riigi panus vabaühendustesse väga suur, siis probleemiks on raha eraldamise läbipaistvus, vähene selgus ja dubleerimine. R</w:t>
            </w:r>
            <w:r w:rsidRPr="00A604AD">
              <w:t>ahastamisel keskendutakse eelkõige kvantitatiivsetele näitajatele ning palju on projektipõhist lähenemist, mis viitab soovile saavutada kiirelt ettenähtud tulemus, kuid suuremate ja olulisemate ühiskondlike muutuste saavutamine võib võtta aega ning seetõttu ka pikemaajalisi plaane ning püsivamat rahastust.</w:t>
            </w:r>
          </w:p>
        </w:tc>
      </w:tr>
      <w:tr w:rsidR="00011A2B" w:rsidTr="00D4456B">
        <w:tc>
          <w:tcPr>
            <w:tcW w:w="2263" w:type="dxa"/>
          </w:tcPr>
          <w:p w:rsidR="00011A2B" w:rsidRDefault="00A604AD" w:rsidP="00D4456B">
            <w:r>
              <w:t>Vabatahtlike vähesus</w:t>
            </w:r>
          </w:p>
        </w:tc>
        <w:tc>
          <w:tcPr>
            <w:tcW w:w="6799" w:type="dxa"/>
          </w:tcPr>
          <w:p w:rsidR="00011A2B" w:rsidRDefault="00A604AD" w:rsidP="00D4456B">
            <w:r>
              <w:t>A</w:t>
            </w:r>
            <w:r w:rsidRPr="00A604AD">
              <w:t>ktiivsed vabatahtlikud kipuvad olema kaasatud mitmetes organisatsioonides. See võib kaasa tuua nende üle ekspluateerimise ning hilisema väsimise. Uute vabatahtlike kaasamine on aga üsna keeruline.</w:t>
            </w:r>
          </w:p>
        </w:tc>
      </w:tr>
      <w:tr w:rsidR="00011A2B" w:rsidTr="00D4456B">
        <w:tc>
          <w:tcPr>
            <w:tcW w:w="2263" w:type="dxa"/>
          </w:tcPr>
          <w:p w:rsidR="00011A2B" w:rsidRDefault="00A604AD" w:rsidP="00D4456B">
            <w:r>
              <w:t>Keskendumine eestikeelsele sihtrühmale</w:t>
            </w:r>
          </w:p>
        </w:tc>
        <w:tc>
          <w:tcPr>
            <w:tcW w:w="6799" w:type="dxa"/>
          </w:tcPr>
          <w:p w:rsidR="00011A2B" w:rsidRDefault="00A604AD" w:rsidP="00D4456B">
            <w:r>
              <w:t>Arvestades rände ja rahvastikuga seotud trende on oluline keskenduda senisest enam kõikide rahvusgruppide ja teistest kultuuriruumidest pärit inimeste lõimimisele ja vabaühendustesse kaasamisele.</w:t>
            </w:r>
          </w:p>
        </w:tc>
      </w:tr>
    </w:tbl>
    <w:p w:rsidR="00011A2B" w:rsidRDefault="00011A2B" w:rsidP="00011A2B"/>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3"/>
        <w:gridCol w:w="6799"/>
      </w:tblGrid>
      <w:tr w:rsidR="00011A2B" w:rsidTr="00D4456B">
        <w:tc>
          <w:tcPr>
            <w:tcW w:w="9062" w:type="dxa"/>
            <w:gridSpan w:val="2"/>
            <w:shd w:val="clear" w:color="auto" w:fill="DEEAF6" w:themeFill="accent1" w:themeFillTint="33"/>
          </w:tcPr>
          <w:p w:rsidR="00011A2B" w:rsidRPr="00642B07" w:rsidRDefault="00011A2B" w:rsidP="00D4456B">
            <w:pPr>
              <w:rPr>
                <w:b/>
              </w:rPr>
            </w:pPr>
            <w:r w:rsidRPr="00642B07">
              <w:rPr>
                <w:b/>
              </w:rPr>
              <w:lastRenderedPageBreak/>
              <w:t xml:space="preserve">Kirjelda väliseid võimalusi ehk väliseid </w:t>
            </w:r>
            <w:r>
              <w:rPr>
                <w:b/>
              </w:rPr>
              <w:t>tingimusi, mis toetavad eesmärkide</w:t>
            </w:r>
            <w:r w:rsidRPr="00642B07">
              <w:rPr>
                <w:b/>
              </w:rPr>
              <w:t xml:space="preserve"> saavutamist </w:t>
            </w:r>
            <w:r w:rsidRPr="00B46CB8">
              <w:t>(tuleta vajadusel tegevuskeskkonna tegurite analüüsist)</w:t>
            </w:r>
          </w:p>
        </w:tc>
      </w:tr>
      <w:tr w:rsidR="00011A2B" w:rsidTr="00D4456B">
        <w:tc>
          <w:tcPr>
            <w:tcW w:w="2263" w:type="dxa"/>
            <w:shd w:val="clear" w:color="auto" w:fill="DEEAF6" w:themeFill="accent1" w:themeFillTint="33"/>
          </w:tcPr>
          <w:p w:rsidR="00011A2B" w:rsidRPr="004E4B8E" w:rsidRDefault="00011A2B" w:rsidP="00D4456B">
            <w:pPr>
              <w:rPr>
                <w:b/>
              </w:rPr>
            </w:pPr>
            <w:r w:rsidRPr="004E4B8E">
              <w:rPr>
                <w:b/>
              </w:rPr>
              <w:t>Väline võimalus</w:t>
            </w:r>
          </w:p>
        </w:tc>
        <w:tc>
          <w:tcPr>
            <w:tcW w:w="6799" w:type="dxa"/>
            <w:shd w:val="clear" w:color="auto" w:fill="DEEAF6" w:themeFill="accent1" w:themeFillTint="33"/>
          </w:tcPr>
          <w:p w:rsidR="00011A2B" w:rsidRPr="004E4B8E" w:rsidRDefault="00011A2B" w:rsidP="00D4456B">
            <w:pPr>
              <w:rPr>
                <w:b/>
              </w:rPr>
            </w:pPr>
            <w:r>
              <w:rPr>
                <w:b/>
              </w:rPr>
              <w:t>Lühike k</w:t>
            </w:r>
            <w:r w:rsidRPr="004E4B8E">
              <w:rPr>
                <w:b/>
              </w:rPr>
              <w:t>irjeldus</w:t>
            </w:r>
          </w:p>
        </w:tc>
      </w:tr>
      <w:tr w:rsidR="00011A2B" w:rsidTr="00D4456B">
        <w:tc>
          <w:tcPr>
            <w:tcW w:w="2263" w:type="dxa"/>
          </w:tcPr>
          <w:p w:rsidR="00011A2B" w:rsidRDefault="00A604AD" w:rsidP="00D4456B">
            <w:r>
              <w:t>IKT areng</w:t>
            </w:r>
          </w:p>
        </w:tc>
        <w:tc>
          <w:tcPr>
            <w:tcW w:w="6799" w:type="dxa"/>
          </w:tcPr>
          <w:p w:rsidR="00011A2B" w:rsidRDefault="00A604AD" w:rsidP="00EC014D">
            <w:r>
              <w:t>Tehnoloogia areng võimaldab enim inimesi kaasata sõltumata asukohast.</w:t>
            </w:r>
          </w:p>
        </w:tc>
      </w:tr>
      <w:tr w:rsidR="00011A2B" w:rsidTr="00D4456B">
        <w:tc>
          <w:tcPr>
            <w:tcW w:w="2263" w:type="dxa"/>
          </w:tcPr>
          <w:p w:rsidR="00011A2B" w:rsidRDefault="00011A2B" w:rsidP="00D4456B">
            <w:r>
              <w:t>Töövormide muutumine</w:t>
            </w:r>
          </w:p>
        </w:tc>
        <w:tc>
          <w:tcPr>
            <w:tcW w:w="6799" w:type="dxa"/>
          </w:tcPr>
          <w:p w:rsidR="00011A2B" w:rsidRDefault="00011A2B" w:rsidP="00D4456B">
            <w:r>
              <w:t xml:space="preserve">Üha rohkem on asukohast sõltumatuid töökohti. Eesti kui e-riik saab olla esimene riik, kes arenguga kiirelt kaasas käib, vastavalt sellele oma poliitikaid muudab ning annab inimestele võimaluse kasutada uusi nutikaid lahendusi. </w:t>
            </w:r>
          </w:p>
        </w:tc>
      </w:tr>
      <w:tr w:rsidR="00011A2B" w:rsidTr="00D4456B">
        <w:tc>
          <w:tcPr>
            <w:tcW w:w="2263" w:type="dxa"/>
          </w:tcPr>
          <w:p w:rsidR="00011A2B" w:rsidRDefault="00011A2B" w:rsidP="00D4456B"/>
        </w:tc>
        <w:tc>
          <w:tcPr>
            <w:tcW w:w="6799" w:type="dxa"/>
          </w:tcPr>
          <w:p w:rsidR="00011A2B" w:rsidRDefault="00011A2B" w:rsidP="00D4456B"/>
        </w:tc>
      </w:tr>
      <w:tr w:rsidR="00011A2B" w:rsidTr="00D4456B">
        <w:tc>
          <w:tcPr>
            <w:tcW w:w="2263" w:type="dxa"/>
          </w:tcPr>
          <w:p w:rsidR="00011A2B" w:rsidRDefault="00011A2B" w:rsidP="00D4456B"/>
        </w:tc>
        <w:tc>
          <w:tcPr>
            <w:tcW w:w="6799" w:type="dxa"/>
          </w:tcPr>
          <w:p w:rsidR="00011A2B" w:rsidRDefault="00011A2B" w:rsidP="00D4456B"/>
        </w:tc>
      </w:tr>
    </w:tbl>
    <w:p w:rsidR="00011A2B" w:rsidRDefault="00011A2B" w:rsidP="00011A2B"/>
    <w:p w:rsidR="00011A2B" w:rsidRPr="00A347FA" w:rsidRDefault="00011A2B" w:rsidP="00EC014D">
      <w:pPr>
        <w:pStyle w:val="Heading2"/>
        <w:numPr>
          <w:ilvl w:val="0"/>
          <w:numId w:val="5"/>
        </w:numPr>
      </w:pPr>
      <w:r>
        <w:t xml:space="preserve">Järeldused: </w:t>
      </w:r>
      <w:r w:rsidRPr="005D1753">
        <w:t>Mis on olulisimad lahendamis</w:t>
      </w:r>
      <w:r>
        <w:t>t vajavad probleemid järgmise 5–</w:t>
      </w:r>
      <w:r w:rsidRPr="005D1753">
        <w:t>10 a</w:t>
      </w:r>
      <w:r>
        <w:t>asta</w:t>
      </w:r>
      <w:r w:rsidRPr="005D1753">
        <w:t xml:space="preserve"> perspektiivis</w:t>
      </w:r>
      <w:r>
        <w:t xml:space="preserve"> ja olulised arenguvajadused</w:t>
      </w:r>
      <w:r w:rsidRPr="005D1753">
        <w:t xml:space="preserve">? </w:t>
      </w:r>
      <w:r w:rsidRPr="00020F9B">
        <w:t>(täidab: poliitikaosakond</w:t>
      </w:r>
      <w:r>
        <w:t>, asutus</w:t>
      </w:r>
      <w:r w:rsidRPr="00020F9B">
        <w:t>)</w:t>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8E1A44" w:rsidRDefault="00011A2B" w:rsidP="00D4456B">
            <w:pPr>
              <w:rPr>
                <w:b/>
              </w:rPr>
            </w:pPr>
            <w:r w:rsidRPr="008E1A44">
              <w:rPr>
                <w:b/>
              </w:rPr>
              <w:t>Oluline probleem</w:t>
            </w:r>
          </w:p>
        </w:tc>
        <w:tc>
          <w:tcPr>
            <w:tcW w:w="7082" w:type="dxa"/>
          </w:tcPr>
          <w:p w:rsidR="00011A2B" w:rsidRDefault="00092DDA" w:rsidP="00D4456B">
            <w:r>
              <w:t>Ressursivähesus ja vähene läbipaistvus</w:t>
            </w:r>
          </w:p>
        </w:tc>
      </w:tr>
      <w:tr w:rsidR="00011A2B" w:rsidTr="00D4456B">
        <w:tc>
          <w:tcPr>
            <w:tcW w:w="1980" w:type="dxa"/>
            <w:shd w:val="clear" w:color="auto" w:fill="DEEAF6" w:themeFill="accent1" w:themeFillTint="33"/>
          </w:tcPr>
          <w:p w:rsidR="00011A2B" w:rsidRPr="008E1A44" w:rsidRDefault="00011A2B" w:rsidP="00D4456B">
            <w:pPr>
              <w:rPr>
                <w:b/>
              </w:rPr>
            </w:pPr>
            <w:r w:rsidRPr="008E1A44">
              <w:rPr>
                <w:b/>
              </w:rPr>
              <w:t>Selle lahendamiseks vajalik arenguvajadus</w:t>
            </w:r>
          </w:p>
        </w:tc>
        <w:tc>
          <w:tcPr>
            <w:tcW w:w="7082" w:type="dxa"/>
          </w:tcPr>
          <w:p w:rsidR="00011A2B" w:rsidRDefault="00092DDA" w:rsidP="00D4456B">
            <w:r>
              <w:t>Rahastajate omavaheline koostöö, õigusaktide selgus.</w:t>
            </w:r>
          </w:p>
        </w:tc>
      </w:tr>
      <w:tr w:rsidR="00011A2B" w:rsidTr="00D4456B">
        <w:tc>
          <w:tcPr>
            <w:tcW w:w="1980" w:type="dxa"/>
            <w:shd w:val="clear" w:color="auto" w:fill="DEEAF6" w:themeFill="accent1" w:themeFillTint="33"/>
          </w:tcPr>
          <w:p w:rsidR="00011A2B" w:rsidRPr="008E1A44" w:rsidRDefault="00011A2B" w:rsidP="00D4456B">
            <w:pPr>
              <w:rPr>
                <w:b/>
              </w:rPr>
            </w:pPr>
            <w:r w:rsidRPr="008E1A44">
              <w:rPr>
                <w:b/>
              </w:rPr>
              <w:t>Põhjendus (miks on probleem oluline ja mis võib juhtuda, kui arenguvajadusi järgmise 5-10 aasta jooksul ei lahenda)</w:t>
            </w:r>
          </w:p>
        </w:tc>
        <w:tc>
          <w:tcPr>
            <w:tcW w:w="7082" w:type="dxa"/>
          </w:tcPr>
          <w:p w:rsidR="00011A2B" w:rsidRDefault="00092DDA" w:rsidP="00092DDA">
            <w:r>
              <w:t>R</w:t>
            </w:r>
            <w:r w:rsidRPr="00092DDA">
              <w:t>ahastamisel keskendutakse eelkõige kvantitatiivsetele näitajatele ning palju on projektipõhist lähenemist</w:t>
            </w:r>
            <w:r>
              <w:t>. Vabaühendusi rahastatakse eri kriteeriumite alusel ja eristatud ei ole eri rahastusliigid. Ei nähta rahastuse strateegilist vaadet, vaid soovitakse projektide abil luua pikaajalisi muutusi. Vajalik ühiskondliku mõju saavutab nõuab pi</w:t>
            </w:r>
            <w:r w:rsidRPr="00092DDA">
              <w:t>kemaajalisi plaane ning püsivamat rahastust.</w:t>
            </w:r>
          </w:p>
        </w:tc>
      </w:tr>
      <w:tr w:rsidR="00011A2B" w:rsidTr="00D4456B">
        <w:tc>
          <w:tcPr>
            <w:tcW w:w="1980" w:type="dxa"/>
            <w:shd w:val="clear" w:color="auto" w:fill="DEEAF6" w:themeFill="accent1" w:themeFillTint="33"/>
          </w:tcPr>
          <w:p w:rsidR="00011A2B" w:rsidRPr="00AE172C" w:rsidRDefault="00011A2B" w:rsidP="00D4456B">
            <w:pPr>
              <w:rPr>
                <w:b/>
              </w:rPr>
            </w:pPr>
            <w:r>
              <w:rPr>
                <w:b/>
              </w:rPr>
              <w:t xml:space="preserve">Kas teie hinnangul vajab arenguvajaduse realiseerimine lisarahastust? Milline on arenguvajaduse realiseerimisel tekkiv </w:t>
            </w:r>
            <w:r>
              <w:rPr>
                <w:b/>
              </w:rPr>
              <w:lastRenderedPageBreak/>
              <w:t>tulu/ühiskondlik mõju?</w:t>
            </w:r>
          </w:p>
        </w:tc>
        <w:tc>
          <w:tcPr>
            <w:tcW w:w="7082" w:type="dxa"/>
          </w:tcPr>
          <w:p w:rsidR="00011A2B" w:rsidRDefault="00092DDA" w:rsidP="00D4456B">
            <w:r>
              <w:lastRenderedPageBreak/>
              <w:t>Probleemi lahendamine suurendab rahastamise selgust ja toob otsese ühiskondliku mõju nii vabaühendustele, kellele on rahastuse taotlemine ja selle jaotus selgem, kui ka riigile ja välditakse seeläbi rahastuse dubleerimist.</w:t>
            </w:r>
          </w:p>
        </w:tc>
      </w:tr>
      <w:tr w:rsidR="00011A2B" w:rsidTr="00D4456B">
        <w:tc>
          <w:tcPr>
            <w:tcW w:w="1980" w:type="dxa"/>
            <w:shd w:val="clear" w:color="auto" w:fill="DEEAF6" w:themeFill="accent1" w:themeFillTint="33"/>
          </w:tcPr>
          <w:p w:rsidR="00011A2B" w:rsidRPr="008E1A44" w:rsidRDefault="00011A2B" w:rsidP="00D4456B">
            <w:pPr>
              <w:rPr>
                <w:b/>
              </w:rPr>
            </w:pPr>
            <w:r w:rsidRPr="00AE172C">
              <w:rPr>
                <w:b/>
              </w:rPr>
              <w:t xml:space="preserve">Millised valitsemisalad ja kuidas mõjutavad </w:t>
            </w:r>
            <w:r>
              <w:rPr>
                <w:b/>
              </w:rPr>
              <w:t xml:space="preserve">probleemi avaldumist või lahendamist </w:t>
            </w:r>
            <w:r w:rsidRPr="00AE172C">
              <w:rPr>
                <w:b/>
              </w:rPr>
              <w:t>kõige enam</w:t>
            </w:r>
          </w:p>
        </w:tc>
        <w:tc>
          <w:tcPr>
            <w:tcW w:w="7082" w:type="dxa"/>
          </w:tcPr>
          <w:p w:rsidR="00011A2B" w:rsidRDefault="00092DDA" w:rsidP="00D4456B">
            <w:r>
              <w:t>Horisontaalne mõju</w:t>
            </w:r>
          </w:p>
        </w:tc>
      </w:tr>
    </w:tbl>
    <w:p w:rsidR="00011A2B" w:rsidRDefault="00011A2B" w:rsidP="00011A2B"/>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8E1A44" w:rsidRDefault="00011A2B" w:rsidP="00D4456B">
            <w:pPr>
              <w:rPr>
                <w:b/>
              </w:rPr>
            </w:pPr>
            <w:r w:rsidRPr="008E1A44">
              <w:rPr>
                <w:b/>
              </w:rPr>
              <w:t>Oluline probleem</w:t>
            </w:r>
          </w:p>
        </w:tc>
        <w:tc>
          <w:tcPr>
            <w:tcW w:w="7082" w:type="dxa"/>
          </w:tcPr>
          <w:p w:rsidR="00011A2B" w:rsidRPr="00092DDA" w:rsidRDefault="00092DDA" w:rsidP="00092DDA">
            <w:r w:rsidRPr="00092DDA">
              <w:t>Eesti elanike sotsiaalne ning majanduslik segregatsioon</w:t>
            </w:r>
          </w:p>
        </w:tc>
      </w:tr>
      <w:tr w:rsidR="00011A2B" w:rsidTr="00D4456B">
        <w:tc>
          <w:tcPr>
            <w:tcW w:w="1980" w:type="dxa"/>
            <w:shd w:val="clear" w:color="auto" w:fill="DEEAF6" w:themeFill="accent1" w:themeFillTint="33"/>
          </w:tcPr>
          <w:p w:rsidR="00011A2B" w:rsidRPr="008E1A44" w:rsidRDefault="00011A2B" w:rsidP="00D4456B">
            <w:pPr>
              <w:rPr>
                <w:b/>
              </w:rPr>
            </w:pPr>
            <w:r w:rsidRPr="008E1A44">
              <w:rPr>
                <w:b/>
              </w:rPr>
              <w:t>Selle lahendamiseks vajalik arenguvajadus</w:t>
            </w:r>
          </w:p>
        </w:tc>
        <w:tc>
          <w:tcPr>
            <w:tcW w:w="7082" w:type="dxa"/>
          </w:tcPr>
          <w:p w:rsidR="00011A2B" w:rsidRDefault="00B43F6C" w:rsidP="00D4456B">
            <w:r>
              <w:t>Vabaühenduste kaasamisoskuste arendamine ja eri ühiskonnagruppide lõimimine</w:t>
            </w:r>
          </w:p>
        </w:tc>
      </w:tr>
      <w:tr w:rsidR="00011A2B" w:rsidTr="00D4456B">
        <w:tc>
          <w:tcPr>
            <w:tcW w:w="1980" w:type="dxa"/>
            <w:shd w:val="clear" w:color="auto" w:fill="DEEAF6" w:themeFill="accent1" w:themeFillTint="33"/>
          </w:tcPr>
          <w:p w:rsidR="00011A2B" w:rsidRPr="008E1A44" w:rsidRDefault="00011A2B" w:rsidP="00D4456B">
            <w:pPr>
              <w:rPr>
                <w:b/>
              </w:rPr>
            </w:pPr>
            <w:r w:rsidRPr="008E1A44">
              <w:rPr>
                <w:b/>
              </w:rPr>
              <w:t>Põhjendus (miks on probleem oluline ja mis võib juhtuda, kui arenguvajadusi järgmise 5-10 aasta jooksul ei lahenda)</w:t>
            </w:r>
          </w:p>
        </w:tc>
        <w:tc>
          <w:tcPr>
            <w:tcW w:w="7082" w:type="dxa"/>
          </w:tcPr>
          <w:p w:rsidR="00011A2B" w:rsidRDefault="00B74E9C" w:rsidP="00D4456B">
            <w:r>
              <w:t xml:space="preserve">Ühiskonnagruppide segregatsioon vähendab ühiskonna sidusust ja ei aita kaasa eduka ja turvalise riigi arengule. </w:t>
            </w:r>
          </w:p>
        </w:tc>
      </w:tr>
      <w:tr w:rsidR="00011A2B" w:rsidTr="00D4456B">
        <w:tc>
          <w:tcPr>
            <w:tcW w:w="1980" w:type="dxa"/>
            <w:shd w:val="clear" w:color="auto" w:fill="DEEAF6" w:themeFill="accent1" w:themeFillTint="33"/>
          </w:tcPr>
          <w:p w:rsidR="00011A2B" w:rsidRPr="00AE172C" w:rsidRDefault="00011A2B" w:rsidP="00D4456B">
            <w:pPr>
              <w:rPr>
                <w:b/>
              </w:rPr>
            </w:pPr>
            <w:r>
              <w:rPr>
                <w:b/>
              </w:rPr>
              <w:t>Kas teie hinnangul vajab arenguvajaduse realiseerimine lisarahastust? Milline on arenguvajaduse realiseerimisel tekkiv tulu/ühiskondlik mõju?</w:t>
            </w:r>
          </w:p>
        </w:tc>
        <w:tc>
          <w:tcPr>
            <w:tcW w:w="7082" w:type="dxa"/>
          </w:tcPr>
          <w:p w:rsidR="00011A2B" w:rsidRDefault="00B74E9C" w:rsidP="00D4456B">
            <w:r>
              <w:t>Mõju avaldab rohkemate inimeste kaasamine vabatahtlikku tegevusse ja kodanikuühendustesse. Lisarahastust vajab kaasamise ja info levitamine eri keeltes. Seni on mõningal määral kajastatud venekeelset kodanikuühiskonna alast infot, kuid seda projektirahadest ja püsivat strateegilist tööd teistes keeleruumides ei tehta.</w:t>
            </w:r>
          </w:p>
        </w:tc>
      </w:tr>
      <w:tr w:rsidR="00011A2B" w:rsidTr="00092DDA">
        <w:trPr>
          <w:trHeight w:val="3699"/>
        </w:trPr>
        <w:tc>
          <w:tcPr>
            <w:tcW w:w="1980" w:type="dxa"/>
            <w:shd w:val="clear" w:color="auto" w:fill="DEEAF6" w:themeFill="accent1" w:themeFillTint="33"/>
          </w:tcPr>
          <w:p w:rsidR="00011A2B" w:rsidRPr="008E1A44" w:rsidRDefault="00011A2B" w:rsidP="00D4456B">
            <w:pPr>
              <w:rPr>
                <w:b/>
              </w:rPr>
            </w:pPr>
            <w:r w:rsidRPr="00AE172C">
              <w:rPr>
                <w:b/>
              </w:rPr>
              <w:lastRenderedPageBreak/>
              <w:t xml:space="preserve">Millised valitsemisalad ja kuidas mõjutavad </w:t>
            </w:r>
            <w:r>
              <w:rPr>
                <w:b/>
              </w:rPr>
              <w:t xml:space="preserve">probleemi avaldumist või lahendamist </w:t>
            </w:r>
            <w:r w:rsidRPr="00AE172C">
              <w:rPr>
                <w:b/>
              </w:rPr>
              <w:t>kõige enam</w:t>
            </w:r>
          </w:p>
        </w:tc>
        <w:tc>
          <w:tcPr>
            <w:tcW w:w="7082" w:type="dxa"/>
          </w:tcPr>
          <w:p w:rsidR="00011A2B" w:rsidRDefault="00B74E9C" w:rsidP="00D4456B">
            <w:r>
              <w:t>Horisontaalne mõju kõikides valitsemisalades.</w:t>
            </w:r>
          </w:p>
        </w:tc>
      </w:tr>
    </w:tbl>
    <w:p w:rsidR="00011A2B" w:rsidRDefault="00011A2B" w:rsidP="00011A2B"/>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980"/>
        <w:gridCol w:w="7082"/>
      </w:tblGrid>
      <w:tr w:rsidR="00011A2B" w:rsidTr="00D4456B">
        <w:tc>
          <w:tcPr>
            <w:tcW w:w="1980" w:type="dxa"/>
            <w:shd w:val="clear" w:color="auto" w:fill="DEEAF6" w:themeFill="accent1" w:themeFillTint="33"/>
          </w:tcPr>
          <w:p w:rsidR="00011A2B" w:rsidRPr="008E1A44" w:rsidRDefault="00011A2B" w:rsidP="00D4456B">
            <w:pPr>
              <w:rPr>
                <w:b/>
              </w:rPr>
            </w:pPr>
            <w:r w:rsidRPr="008E1A44">
              <w:rPr>
                <w:b/>
              </w:rPr>
              <w:t>Oluline probleem</w:t>
            </w:r>
          </w:p>
        </w:tc>
        <w:tc>
          <w:tcPr>
            <w:tcW w:w="7082" w:type="dxa"/>
          </w:tcPr>
          <w:p w:rsidR="00011A2B" w:rsidRDefault="00092DDA" w:rsidP="00D4456B">
            <w:r>
              <w:t>Kaasamis- ja osalemisvõimekuse vähesus</w:t>
            </w:r>
            <w:r w:rsidR="00B74E9C">
              <w:t xml:space="preserve"> ja kodanikuhariduse vähene osakaal</w:t>
            </w:r>
          </w:p>
        </w:tc>
      </w:tr>
      <w:tr w:rsidR="00011A2B" w:rsidTr="00D4456B">
        <w:tc>
          <w:tcPr>
            <w:tcW w:w="1980" w:type="dxa"/>
            <w:shd w:val="clear" w:color="auto" w:fill="DEEAF6" w:themeFill="accent1" w:themeFillTint="33"/>
          </w:tcPr>
          <w:p w:rsidR="00011A2B" w:rsidRPr="008E1A44" w:rsidRDefault="00011A2B" w:rsidP="00D4456B">
            <w:pPr>
              <w:rPr>
                <w:b/>
              </w:rPr>
            </w:pPr>
            <w:r w:rsidRPr="008E1A44">
              <w:rPr>
                <w:b/>
              </w:rPr>
              <w:t>Selle lahendamiseks vajalik arenguvajadus</w:t>
            </w:r>
          </w:p>
        </w:tc>
        <w:tc>
          <w:tcPr>
            <w:tcW w:w="7082" w:type="dxa"/>
          </w:tcPr>
          <w:p w:rsidR="00011A2B" w:rsidRDefault="00B74E9C" w:rsidP="00D4456B">
            <w:r>
              <w:t xml:space="preserve">IKT osakaalu suurendamine, kaasamisoskuste ja huvikaitseoskuste arendamine. </w:t>
            </w:r>
            <w:r w:rsidRPr="00B74E9C">
              <w:t xml:space="preserve">Arendada tuleb koolide õpetajaid, koolijuhte ning teisi laste ja noortega töötavaid täiskasvanuid, et suureneks võimekus õpilasi kaasata nende heaolu mõjutavatesse protsessidesse ning sellega toetada osalemisharjumuse kujunemist. </w:t>
            </w:r>
            <w:r>
              <w:t>Õ</w:t>
            </w:r>
            <w:r w:rsidRPr="00B74E9C">
              <w:t xml:space="preserve">pilasi </w:t>
            </w:r>
            <w:r>
              <w:t xml:space="preserve">peaks </w:t>
            </w:r>
            <w:r w:rsidRPr="00B74E9C">
              <w:t>kaasa</w:t>
            </w:r>
            <w:r>
              <w:t>m</w:t>
            </w:r>
            <w:r w:rsidRPr="00B74E9C">
              <w:t>a kooli (kuid laiemalt ka laste ja noorte puhul lasteaia/noortekeskuse) arengukava, aastaplaani väljatöötamisse, et kujundada neis harjumus endale olulistes asjades kaasa rääkida</w:t>
            </w:r>
            <w:r>
              <w:t>. E</w:t>
            </w:r>
            <w:r w:rsidRPr="00B74E9C">
              <w:t>esmärgiks</w:t>
            </w:r>
            <w:r>
              <w:t xml:space="preserve"> tuleb</w:t>
            </w:r>
            <w:r w:rsidRPr="00B74E9C">
              <w:t xml:space="preserve"> seada koosloomeni jõudmine. </w:t>
            </w:r>
          </w:p>
        </w:tc>
      </w:tr>
      <w:tr w:rsidR="00011A2B" w:rsidTr="00D4456B">
        <w:tc>
          <w:tcPr>
            <w:tcW w:w="1980" w:type="dxa"/>
            <w:shd w:val="clear" w:color="auto" w:fill="DEEAF6" w:themeFill="accent1" w:themeFillTint="33"/>
          </w:tcPr>
          <w:p w:rsidR="00011A2B" w:rsidRPr="008E1A44" w:rsidRDefault="00011A2B" w:rsidP="00D4456B">
            <w:pPr>
              <w:rPr>
                <w:b/>
              </w:rPr>
            </w:pPr>
            <w:r w:rsidRPr="008E1A44">
              <w:rPr>
                <w:b/>
              </w:rPr>
              <w:t>Põhjendus (miks on probleem oluline ja mis võib juhtuda, kui arenguvajadusi järgmise 5-10 aasta jooksul ei lahenda)</w:t>
            </w:r>
          </w:p>
        </w:tc>
        <w:tc>
          <w:tcPr>
            <w:tcW w:w="7082" w:type="dxa"/>
          </w:tcPr>
          <w:p w:rsidR="00011A2B" w:rsidRDefault="00D55BD4" w:rsidP="00D4456B">
            <w:r>
              <w:t>Noorte kaasamisoskuste mittearendamisel huvitub vähem inimesi nii riigi käekäigust kui puuduvad oskused ühiskonnas kaasa rääkida ja enda huvide eest seista. Aktiivsete inimeste vähesuse korral ei saa rääkida tugevast kodanikuühiskonnast ja sidusast riigist.</w:t>
            </w:r>
          </w:p>
        </w:tc>
      </w:tr>
      <w:tr w:rsidR="00011A2B" w:rsidTr="00D4456B">
        <w:tc>
          <w:tcPr>
            <w:tcW w:w="1980" w:type="dxa"/>
            <w:shd w:val="clear" w:color="auto" w:fill="DEEAF6" w:themeFill="accent1" w:themeFillTint="33"/>
          </w:tcPr>
          <w:p w:rsidR="00011A2B" w:rsidRPr="00AE172C" w:rsidRDefault="00011A2B" w:rsidP="00D4456B">
            <w:pPr>
              <w:rPr>
                <w:b/>
              </w:rPr>
            </w:pPr>
            <w:r>
              <w:rPr>
                <w:b/>
              </w:rPr>
              <w:t>Kas teie hinnangul vajab arenguvajaduse realiseerimine lisarahastust? Milline on arenguvajaduse realiseerimisel tekkiv tulu/ühiskondlik mõju?</w:t>
            </w:r>
          </w:p>
        </w:tc>
        <w:tc>
          <w:tcPr>
            <w:tcW w:w="7082" w:type="dxa"/>
          </w:tcPr>
          <w:p w:rsidR="00011A2B" w:rsidRDefault="00B74E9C" w:rsidP="00D4456B">
            <w:r>
              <w:t xml:space="preserve">Rahastust vajab kodanikuhariduse levitamine ja arendamine. </w:t>
            </w:r>
          </w:p>
        </w:tc>
      </w:tr>
      <w:tr w:rsidR="00011A2B" w:rsidTr="00D4456B">
        <w:tc>
          <w:tcPr>
            <w:tcW w:w="1980" w:type="dxa"/>
            <w:shd w:val="clear" w:color="auto" w:fill="DEEAF6" w:themeFill="accent1" w:themeFillTint="33"/>
          </w:tcPr>
          <w:p w:rsidR="00011A2B" w:rsidRPr="008E1A44" w:rsidRDefault="00011A2B" w:rsidP="00D4456B">
            <w:pPr>
              <w:rPr>
                <w:b/>
              </w:rPr>
            </w:pPr>
            <w:r w:rsidRPr="00AE172C">
              <w:rPr>
                <w:b/>
              </w:rPr>
              <w:lastRenderedPageBreak/>
              <w:t xml:space="preserve">Millised valitsemisalad ja kuidas mõjutavad </w:t>
            </w:r>
            <w:r>
              <w:rPr>
                <w:b/>
              </w:rPr>
              <w:t xml:space="preserve">probleemi avaldumist või lahendamist </w:t>
            </w:r>
            <w:r w:rsidRPr="00AE172C">
              <w:rPr>
                <w:b/>
              </w:rPr>
              <w:t>kõige enam</w:t>
            </w:r>
          </w:p>
        </w:tc>
        <w:tc>
          <w:tcPr>
            <w:tcW w:w="7082" w:type="dxa"/>
          </w:tcPr>
          <w:p w:rsidR="00011A2B" w:rsidRPr="00B74E9C" w:rsidRDefault="00D55BD4" w:rsidP="00B74E9C">
            <w:r>
              <w:t>Haridus- ja Teadusministeerium, Riigikantselei</w:t>
            </w:r>
          </w:p>
        </w:tc>
      </w:tr>
    </w:tbl>
    <w:p w:rsidR="00011A2B" w:rsidRDefault="00011A2B" w:rsidP="00011A2B"/>
    <w:p w:rsidR="00011A2B" w:rsidRDefault="00011A2B" w:rsidP="00011A2B"/>
    <w:p w:rsidR="00011A2B" w:rsidRPr="00840B09" w:rsidRDefault="00011A2B" w:rsidP="00011A2B"/>
    <w:p w:rsidR="00562816" w:rsidRDefault="00562816"/>
    <w:sectPr w:rsidR="00562816" w:rsidSect="00D4456B">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83" w:rsidRDefault="00BF4983" w:rsidP="00011A2B">
      <w:pPr>
        <w:spacing w:after="0" w:line="240" w:lineRule="auto"/>
      </w:pPr>
      <w:r>
        <w:separator/>
      </w:r>
    </w:p>
  </w:endnote>
  <w:endnote w:type="continuationSeparator" w:id="0">
    <w:p w:rsidR="00BF4983" w:rsidRDefault="00BF4983" w:rsidP="0001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076450"/>
      <w:docPartObj>
        <w:docPartGallery w:val="Page Numbers (Bottom of Page)"/>
        <w:docPartUnique/>
      </w:docPartObj>
    </w:sdtPr>
    <w:sdtEndPr/>
    <w:sdtContent>
      <w:p w:rsidR="00D4456B" w:rsidRDefault="00D4456B">
        <w:pPr>
          <w:pStyle w:val="Footer"/>
          <w:jc w:val="right"/>
        </w:pPr>
        <w:r>
          <w:fldChar w:fldCharType="begin"/>
        </w:r>
        <w:r>
          <w:instrText>PAGE   \* MERGEFORMAT</w:instrText>
        </w:r>
        <w:r>
          <w:fldChar w:fldCharType="separate"/>
        </w:r>
        <w:r w:rsidR="000628A5">
          <w:rPr>
            <w:noProof/>
          </w:rPr>
          <w:t>1</w:t>
        </w:r>
        <w:r>
          <w:fldChar w:fldCharType="end"/>
        </w:r>
      </w:p>
    </w:sdtContent>
  </w:sdt>
  <w:p w:rsidR="00D4456B" w:rsidRDefault="00D44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83" w:rsidRDefault="00BF4983" w:rsidP="00011A2B">
      <w:pPr>
        <w:spacing w:after="0" w:line="240" w:lineRule="auto"/>
      </w:pPr>
      <w:r>
        <w:separator/>
      </w:r>
    </w:p>
  </w:footnote>
  <w:footnote w:type="continuationSeparator" w:id="0">
    <w:p w:rsidR="00BF4983" w:rsidRDefault="00BF4983" w:rsidP="00011A2B">
      <w:pPr>
        <w:spacing w:after="0" w:line="240" w:lineRule="auto"/>
      </w:pPr>
      <w:r>
        <w:continuationSeparator/>
      </w:r>
    </w:p>
  </w:footnote>
  <w:footnote w:id="1">
    <w:p w:rsidR="004F1008" w:rsidRDefault="004F1008">
      <w:pPr>
        <w:pStyle w:val="FootnoteText"/>
      </w:pPr>
      <w:r>
        <w:rPr>
          <w:rStyle w:val="FootnoteReference"/>
        </w:rPr>
        <w:footnoteRef/>
      </w:r>
      <w:r>
        <w:t xml:space="preserve"> </w:t>
      </w:r>
      <w:r w:rsidRPr="004F1008">
        <w:t>https://www.siseministeerium.ee/sites/default/files/dokumendid/Arengukavad/kodanikuuhiskonna_arengukava_2015-2020_0.pdf</w:t>
      </w:r>
    </w:p>
  </w:footnote>
  <w:footnote w:id="2">
    <w:p w:rsidR="00F3616B" w:rsidRDefault="00F3616B">
      <w:pPr>
        <w:pStyle w:val="FootnoteText"/>
      </w:pPr>
      <w:r>
        <w:rPr>
          <w:rStyle w:val="FootnoteReference"/>
        </w:rPr>
        <w:footnoteRef/>
      </w:r>
      <w:r>
        <w:t xml:space="preserve"> </w:t>
      </w:r>
      <w:r w:rsidRPr="00F3616B">
        <w:t>https://www.siseministeerium.ee/sites/default/files/eesti_kodanikuuhiskonna_arengu_kontseptsioon.pdf</w:t>
      </w:r>
    </w:p>
  </w:footnote>
  <w:footnote w:id="3">
    <w:p w:rsidR="00D4456B" w:rsidRDefault="00D4456B" w:rsidP="00011A2B">
      <w:pPr>
        <w:pStyle w:val="FootnoteText"/>
      </w:pPr>
      <w:r>
        <w:rPr>
          <w:rStyle w:val="FootnoteReference"/>
        </w:rPr>
        <w:footnoteRef/>
      </w:r>
      <w:r>
        <w:t xml:space="preserve"> </w:t>
      </w:r>
      <w:r w:rsidRPr="006829E9">
        <w:rPr>
          <w:b/>
        </w:rPr>
        <w:t xml:space="preserve">Kui puudub mõju, siis ei ole vaja </w:t>
      </w:r>
      <w:r>
        <w:rPr>
          <w:b/>
        </w:rPr>
        <w:t xml:space="preserve">kõigi viie </w:t>
      </w:r>
      <w:r w:rsidRPr="006829E9">
        <w:rPr>
          <w:b/>
        </w:rPr>
        <w:t xml:space="preserve">analüüsivaldkonna </w:t>
      </w:r>
      <w:r>
        <w:rPr>
          <w:b/>
        </w:rPr>
        <w:t xml:space="preserve">tabelit peatükis 1.2. </w:t>
      </w:r>
      <w:r w:rsidRPr="006829E9">
        <w:rPr>
          <w:b/>
        </w:rPr>
        <w:t>täita! Vormi t</w:t>
      </w:r>
      <w:r>
        <w:rPr>
          <w:b/>
        </w:rPr>
        <w:t>äitmisel tohib vaadeldavaid tegureid</w:t>
      </w:r>
      <w:r w:rsidRPr="006829E9">
        <w:rPr>
          <w:b/>
        </w:rPr>
        <w:t xml:space="preserve"> täpsustada</w:t>
      </w:r>
      <w:r>
        <w:rPr>
          <w:b/>
        </w:rPr>
        <w:t>, lisada vastavalt vajadusele</w:t>
      </w:r>
      <w:r w:rsidRPr="006829E9">
        <w:rPr>
          <w: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6956"/>
    <w:multiLevelType w:val="multilevel"/>
    <w:tmpl w:val="CE3EBC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D12123"/>
    <w:multiLevelType w:val="hybridMultilevel"/>
    <w:tmpl w:val="3D6A982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5081740"/>
    <w:multiLevelType w:val="hybridMultilevel"/>
    <w:tmpl w:val="614AD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8F53BFE"/>
    <w:multiLevelType w:val="hybridMultilevel"/>
    <w:tmpl w:val="53C62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D6F187E"/>
    <w:multiLevelType w:val="hybridMultilevel"/>
    <w:tmpl w:val="10D40B3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8C"/>
    <w:rsid w:val="00011A2B"/>
    <w:rsid w:val="00030117"/>
    <w:rsid w:val="00045AC3"/>
    <w:rsid w:val="000628A5"/>
    <w:rsid w:val="00092DDA"/>
    <w:rsid w:val="003C31F3"/>
    <w:rsid w:val="004A2AD3"/>
    <w:rsid w:val="004F1008"/>
    <w:rsid w:val="00553D28"/>
    <w:rsid w:val="00562816"/>
    <w:rsid w:val="0066308D"/>
    <w:rsid w:val="006927B8"/>
    <w:rsid w:val="00765D3F"/>
    <w:rsid w:val="00824B8C"/>
    <w:rsid w:val="00846EE1"/>
    <w:rsid w:val="00923F94"/>
    <w:rsid w:val="009359B0"/>
    <w:rsid w:val="00A604AD"/>
    <w:rsid w:val="00A6209B"/>
    <w:rsid w:val="00B43F6C"/>
    <w:rsid w:val="00B74E9C"/>
    <w:rsid w:val="00BF4983"/>
    <w:rsid w:val="00CA0303"/>
    <w:rsid w:val="00D4456B"/>
    <w:rsid w:val="00D55BD4"/>
    <w:rsid w:val="00E86A47"/>
    <w:rsid w:val="00EC014D"/>
    <w:rsid w:val="00F3616B"/>
    <w:rsid w:val="00FE57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2263"/>
  <w15:chartTrackingRefBased/>
  <w15:docId w15:val="{DC052CD2-4D21-4388-A263-4DE52BC9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A2B"/>
    <w:pPr>
      <w:spacing w:after="200" w:line="276" w:lineRule="auto"/>
    </w:pPr>
  </w:style>
  <w:style w:type="paragraph" w:styleId="Heading1">
    <w:name w:val="heading 1"/>
    <w:basedOn w:val="Normal"/>
    <w:next w:val="Normal"/>
    <w:link w:val="Heading1Char"/>
    <w:uiPriority w:val="9"/>
    <w:qFormat/>
    <w:rsid w:val="00011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1A2B"/>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A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1A2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1A2B"/>
    <w:pPr>
      <w:ind w:left="720"/>
      <w:contextualSpacing/>
    </w:pPr>
  </w:style>
  <w:style w:type="character" w:styleId="CommentReference">
    <w:name w:val="annotation reference"/>
    <w:basedOn w:val="DefaultParagraphFont"/>
    <w:uiPriority w:val="99"/>
    <w:semiHidden/>
    <w:unhideWhenUsed/>
    <w:rsid w:val="00011A2B"/>
    <w:rPr>
      <w:sz w:val="16"/>
      <w:szCs w:val="16"/>
    </w:rPr>
  </w:style>
  <w:style w:type="table" w:styleId="TableGrid">
    <w:name w:val="Table Grid"/>
    <w:basedOn w:val="TableNormal"/>
    <w:uiPriority w:val="39"/>
    <w:rsid w:val="0001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1A2B"/>
    <w:pPr>
      <w:spacing w:line="240" w:lineRule="auto"/>
    </w:pPr>
    <w:rPr>
      <w:i/>
      <w:iCs/>
      <w:color w:val="44546A" w:themeColor="text2"/>
      <w:sz w:val="18"/>
      <w:szCs w:val="18"/>
    </w:rPr>
  </w:style>
  <w:style w:type="paragraph" w:styleId="Footer">
    <w:name w:val="footer"/>
    <w:basedOn w:val="Normal"/>
    <w:link w:val="FooterChar"/>
    <w:uiPriority w:val="99"/>
    <w:unhideWhenUsed/>
    <w:rsid w:val="00011A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A2B"/>
  </w:style>
  <w:style w:type="paragraph" w:styleId="FootnoteText">
    <w:name w:val="footnote text"/>
    <w:basedOn w:val="Normal"/>
    <w:link w:val="FootnoteTextChar"/>
    <w:uiPriority w:val="99"/>
    <w:semiHidden/>
    <w:unhideWhenUsed/>
    <w:rsid w:val="00011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A2B"/>
    <w:rPr>
      <w:sz w:val="20"/>
      <w:szCs w:val="20"/>
    </w:rPr>
  </w:style>
  <w:style w:type="character" w:styleId="FootnoteReference">
    <w:name w:val="footnote reference"/>
    <w:basedOn w:val="DefaultParagraphFont"/>
    <w:uiPriority w:val="99"/>
    <w:semiHidden/>
    <w:unhideWhenUsed/>
    <w:rsid w:val="00011A2B"/>
    <w:rPr>
      <w:vertAlign w:val="superscript"/>
    </w:rPr>
  </w:style>
  <w:style w:type="character" w:styleId="Hyperlink">
    <w:name w:val="Hyperlink"/>
    <w:basedOn w:val="DefaultParagraphFont"/>
    <w:uiPriority w:val="99"/>
    <w:unhideWhenUsed/>
    <w:rsid w:val="00011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87ACB9-465A-4F37-9919-28733AA5432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t-EE"/>
        </a:p>
      </dgm:t>
    </dgm:pt>
    <dgm:pt modelId="{373FBF1C-2D8A-4BFB-9896-F09075330EF3}">
      <dgm:prSet phldrT="[Text]" custT="1"/>
      <dgm:spPr/>
      <dgm:t>
        <a:bodyPr/>
        <a:lstStyle/>
        <a:p>
          <a:r>
            <a:rPr lang="et-EE" sz="1100"/>
            <a:t>Majanduslik keskkond</a:t>
          </a:r>
        </a:p>
      </dgm:t>
    </dgm:pt>
    <dgm:pt modelId="{6D323234-95B5-4904-808B-F7ACF8A558B2}" type="parTrans" cxnId="{70A50781-6F92-4FF6-8BA9-3CFD5C244FE9}">
      <dgm:prSet/>
      <dgm:spPr/>
      <dgm:t>
        <a:bodyPr/>
        <a:lstStyle/>
        <a:p>
          <a:endParaRPr lang="et-EE"/>
        </a:p>
      </dgm:t>
    </dgm:pt>
    <dgm:pt modelId="{3B911948-DA29-448D-A5B4-B5B396C4947E}" type="sibTrans" cxnId="{70A50781-6F92-4FF6-8BA9-3CFD5C244FE9}">
      <dgm:prSet/>
      <dgm:spPr/>
      <dgm:t>
        <a:bodyPr/>
        <a:lstStyle/>
        <a:p>
          <a:endParaRPr lang="et-EE"/>
        </a:p>
      </dgm:t>
    </dgm:pt>
    <dgm:pt modelId="{80B56F3C-E770-4DAF-872D-45E10E1FFD8E}">
      <dgm:prSet phldrT="[Text]" custT="1"/>
      <dgm:spPr/>
      <dgm:t>
        <a:bodyPr/>
        <a:lstStyle/>
        <a:p>
          <a:r>
            <a:rPr lang="et-EE" sz="1100"/>
            <a:t>Sotsiaalne keskkond</a:t>
          </a:r>
        </a:p>
      </dgm:t>
    </dgm:pt>
    <dgm:pt modelId="{05671C03-2BA2-4F88-8DFC-A4A82F23DF4A}" type="parTrans" cxnId="{D428355E-2D28-4A05-B66F-4106F125274D}">
      <dgm:prSet/>
      <dgm:spPr/>
      <dgm:t>
        <a:bodyPr/>
        <a:lstStyle/>
        <a:p>
          <a:endParaRPr lang="et-EE"/>
        </a:p>
      </dgm:t>
    </dgm:pt>
    <dgm:pt modelId="{5CA8CF23-AED1-46A4-9AA5-D61DBD14A085}" type="sibTrans" cxnId="{D428355E-2D28-4A05-B66F-4106F125274D}">
      <dgm:prSet/>
      <dgm:spPr/>
      <dgm:t>
        <a:bodyPr/>
        <a:lstStyle/>
        <a:p>
          <a:endParaRPr lang="et-EE"/>
        </a:p>
      </dgm:t>
    </dgm:pt>
    <dgm:pt modelId="{18325265-27AF-4FA0-B8B2-B96A5D5BC79A}">
      <dgm:prSet phldrT="[Text]" custT="1"/>
      <dgm:spPr/>
      <dgm:t>
        <a:bodyPr/>
        <a:lstStyle/>
        <a:p>
          <a:r>
            <a:rPr lang="et-EE" sz="1100"/>
            <a:t>Tehnoloogiline keskkond</a:t>
          </a:r>
        </a:p>
      </dgm:t>
    </dgm:pt>
    <dgm:pt modelId="{4FFC08BC-B338-4356-9ACE-AE9C45BBBD7A}" type="parTrans" cxnId="{1B096FC7-79BC-46C5-BB79-2533CFF970E4}">
      <dgm:prSet/>
      <dgm:spPr/>
      <dgm:t>
        <a:bodyPr/>
        <a:lstStyle/>
        <a:p>
          <a:endParaRPr lang="et-EE"/>
        </a:p>
      </dgm:t>
    </dgm:pt>
    <dgm:pt modelId="{B3214BA7-3B4B-4106-A5CE-7052FE8C3F5D}" type="sibTrans" cxnId="{1B096FC7-79BC-46C5-BB79-2533CFF970E4}">
      <dgm:prSet/>
      <dgm:spPr/>
      <dgm:t>
        <a:bodyPr/>
        <a:lstStyle/>
        <a:p>
          <a:endParaRPr lang="et-EE"/>
        </a:p>
      </dgm:t>
    </dgm:pt>
    <dgm:pt modelId="{3FE22F89-1A52-411D-BE99-F13C817C2532}">
      <dgm:prSet phldrT="[Text]" custT="1"/>
      <dgm:spPr/>
      <dgm:t>
        <a:bodyPr/>
        <a:lstStyle/>
        <a:p>
          <a:r>
            <a:rPr lang="et-EE" sz="1100"/>
            <a:t>Uued tehnoloogiad</a:t>
          </a:r>
        </a:p>
      </dgm:t>
    </dgm:pt>
    <dgm:pt modelId="{CFCCC95A-FE84-4DAC-91A2-3D00600C7B7E}" type="parTrans" cxnId="{315AA17D-670C-4500-9365-2DA8B3C1726D}">
      <dgm:prSet/>
      <dgm:spPr/>
      <dgm:t>
        <a:bodyPr/>
        <a:lstStyle/>
        <a:p>
          <a:endParaRPr lang="et-EE"/>
        </a:p>
      </dgm:t>
    </dgm:pt>
    <dgm:pt modelId="{3FE80E47-2128-46CF-8366-8BEB3233092E}" type="sibTrans" cxnId="{315AA17D-670C-4500-9365-2DA8B3C1726D}">
      <dgm:prSet/>
      <dgm:spPr/>
      <dgm:t>
        <a:bodyPr/>
        <a:lstStyle/>
        <a:p>
          <a:endParaRPr lang="et-EE"/>
        </a:p>
      </dgm:t>
    </dgm:pt>
    <dgm:pt modelId="{AACAB4AB-1B32-47AC-AE0E-738917975684}">
      <dgm:prSet phldrT="[Text]" custT="1"/>
      <dgm:spPr/>
      <dgm:t>
        <a:bodyPr/>
        <a:lstStyle/>
        <a:p>
          <a:r>
            <a:rPr lang="et-EE" sz="1100"/>
            <a:t>Töövormide muutumine </a:t>
          </a:r>
        </a:p>
      </dgm:t>
    </dgm:pt>
    <dgm:pt modelId="{F7BC231C-7B50-40F1-BCFE-EE0181C1C68E}" type="parTrans" cxnId="{F1500453-68F3-400E-AB45-5F060A5BB3DB}">
      <dgm:prSet/>
      <dgm:spPr/>
      <dgm:t>
        <a:bodyPr/>
        <a:lstStyle/>
        <a:p>
          <a:endParaRPr lang="et-EE"/>
        </a:p>
      </dgm:t>
    </dgm:pt>
    <dgm:pt modelId="{198CCA2A-71AB-401F-AD3A-48EA2603DE9D}" type="sibTrans" cxnId="{F1500453-68F3-400E-AB45-5F060A5BB3DB}">
      <dgm:prSet/>
      <dgm:spPr/>
      <dgm:t>
        <a:bodyPr/>
        <a:lstStyle/>
        <a:p>
          <a:endParaRPr lang="et-EE"/>
        </a:p>
      </dgm:t>
    </dgm:pt>
    <dgm:pt modelId="{2E22EC7A-8C30-481C-8AA2-2274D996A93E}">
      <dgm:prSet phldrT="[Text]" custT="1"/>
      <dgm:spPr/>
      <dgm:t>
        <a:bodyPr/>
        <a:lstStyle/>
        <a:p>
          <a:r>
            <a:rPr lang="et-EE" sz="1100"/>
            <a:t>Infoühiskonna areng</a:t>
          </a:r>
        </a:p>
      </dgm:t>
    </dgm:pt>
    <dgm:pt modelId="{4F395547-1006-457A-8A83-F029A447527E}" type="parTrans" cxnId="{88C3F6B1-DC59-42C0-87E9-EFD9D00602F5}">
      <dgm:prSet/>
      <dgm:spPr/>
      <dgm:t>
        <a:bodyPr/>
        <a:lstStyle/>
        <a:p>
          <a:endParaRPr lang="et-EE"/>
        </a:p>
      </dgm:t>
    </dgm:pt>
    <dgm:pt modelId="{341ACEF8-D2E1-4637-987E-884EB00A2E83}" type="sibTrans" cxnId="{88C3F6B1-DC59-42C0-87E9-EFD9D00602F5}">
      <dgm:prSet/>
      <dgm:spPr/>
      <dgm:t>
        <a:bodyPr/>
        <a:lstStyle/>
        <a:p>
          <a:endParaRPr lang="et-EE"/>
        </a:p>
      </dgm:t>
    </dgm:pt>
    <dgm:pt modelId="{33D215F5-C357-4127-B5AD-A3F4B347BC45}">
      <dgm:prSet phldrT="[Text]" custT="1"/>
      <dgm:spPr/>
      <dgm:t>
        <a:bodyPr/>
        <a:lstStyle/>
        <a:p>
          <a:r>
            <a:rPr lang="et-EE" sz="1100"/>
            <a:t>Ökoloogiline keskkond</a:t>
          </a:r>
        </a:p>
      </dgm:t>
    </dgm:pt>
    <dgm:pt modelId="{B1C878E9-1DEC-47FF-AEC1-2C187F5C6FB6}" type="parTrans" cxnId="{A133CA6E-3DAD-4CA6-9269-EF2C59EAD230}">
      <dgm:prSet/>
      <dgm:spPr/>
      <dgm:t>
        <a:bodyPr/>
        <a:lstStyle/>
        <a:p>
          <a:endParaRPr lang="et-EE"/>
        </a:p>
      </dgm:t>
    </dgm:pt>
    <dgm:pt modelId="{2AB94D0D-8AF8-4304-AE94-42E20D1E5A7B}" type="sibTrans" cxnId="{A133CA6E-3DAD-4CA6-9269-EF2C59EAD230}">
      <dgm:prSet/>
      <dgm:spPr/>
      <dgm:t>
        <a:bodyPr/>
        <a:lstStyle/>
        <a:p>
          <a:endParaRPr lang="et-EE"/>
        </a:p>
      </dgm:t>
    </dgm:pt>
    <dgm:pt modelId="{8B84465F-8BA4-4CC2-8A4D-3AB429AA07D2}">
      <dgm:prSet phldrT="[Text]" custT="1"/>
      <dgm:spPr/>
      <dgm:t>
        <a:bodyPr/>
        <a:lstStyle/>
        <a:p>
          <a:endParaRPr lang="et-EE" sz="1100"/>
        </a:p>
      </dgm:t>
    </dgm:pt>
    <dgm:pt modelId="{3BB82799-D2B7-4893-8027-10C205A4C442}" type="parTrans" cxnId="{9C3EEC03-5268-4500-B8D4-E96F940FD08D}">
      <dgm:prSet/>
      <dgm:spPr/>
      <dgm:t>
        <a:bodyPr/>
        <a:lstStyle/>
        <a:p>
          <a:endParaRPr lang="et-EE"/>
        </a:p>
      </dgm:t>
    </dgm:pt>
    <dgm:pt modelId="{096F3E07-FD3A-4EFC-B7E6-C3305BF35227}" type="sibTrans" cxnId="{9C3EEC03-5268-4500-B8D4-E96F940FD08D}">
      <dgm:prSet/>
      <dgm:spPr/>
      <dgm:t>
        <a:bodyPr/>
        <a:lstStyle/>
        <a:p>
          <a:endParaRPr lang="et-EE"/>
        </a:p>
      </dgm:t>
    </dgm:pt>
    <dgm:pt modelId="{7DC570B1-0151-4C89-8D5C-ADFB46A21386}">
      <dgm:prSet phldrT="[Text]" custT="1"/>
      <dgm:spPr/>
      <dgm:t>
        <a:bodyPr/>
        <a:lstStyle/>
        <a:p>
          <a:endParaRPr lang="et-EE" sz="1100"/>
        </a:p>
      </dgm:t>
    </dgm:pt>
    <dgm:pt modelId="{25683C70-42BA-4D5D-808E-81BA614E9B9E}" type="parTrans" cxnId="{FA4B265D-AE39-4C92-8777-2CE64E7BB0A5}">
      <dgm:prSet/>
      <dgm:spPr/>
      <dgm:t>
        <a:bodyPr/>
        <a:lstStyle/>
        <a:p>
          <a:endParaRPr lang="et-EE"/>
        </a:p>
      </dgm:t>
    </dgm:pt>
    <dgm:pt modelId="{CE1EA5BD-C4DD-4AE2-B615-DE309BFB5C17}" type="sibTrans" cxnId="{FA4B265D-AE39-4C92-8777-2CE64E7BB0A5}">
      <dgm:prSet/>
      <dgm:spPr/>
      <dgm:t>
        <a:bodyPr/>
        <a:lstStyle/>
        <a:p>
          <a:endParaRPr lang="et-EE"/>
        </a:p>
      </dgm:t>
    </dgm:pt>
    <dgm:pt modelId="{68B70641-896E-4C22-A2A0-5E5281374147}">
      <dgm:prSet phldrT="[Text]" custT="1"/>
      <dgm:spPr/>
      <dgm:t>
        <a:bodyPr/>
        <a:lstStyle/>
        <a:p>
          <a:r>
            <a:rPr lang="et-EE" sz="1100"/>
            <a:t>Ränne</a:t>
          </a:r>
        </a:p>
      </dgm:t>
    </dgm:pt>
    <dgm:pt modelId="{2A0F68D2-587E-4C52-B8B4-9842FCCF24E8}" type="parTrans" cxnId="{AFDB2AFD-C28B-4197-8A09-AB1C5C1733FE}">
      <dgm:prSet/>
      <dgm:spPr/>
      <dgm:t>
        <a:bodyPr/>
        <a:lstStyle/>
        <a:p>
          <a:endParaRPr lang="et-EE"/>
        </a:p>
      </dgm:t>
    </dgm:pt>
    <dgm:pt modelId="{6F78EC6A-81FD-4DD4-81DF-DE40E34124FE}" type="sibTrans" cxnId="{AFDB2AFD-C28B-4197-8A09-AB1C5C1733FE}">
      <dgm:prSet/>
      <dgm:spPr/>
      <dgm:t>
        <a:bodyPr/>
        <a:lstStyle/>
        <a:p>
          <a:endParaRPr lang="et-EE"/>
        </a:p>
      </dgm:t>
    </dgm:pt>
    <dgm:pt modelId="{5DF7C52D-799D-4287-99F5-3CF4A3F0D062}">
      <dgm:prSet phldrT="[Text]" custT="1"/>
      <dgm:spPr/>
      <dgm:t>
        <a:bodyPr/>
        <a:lstStyle/>
        <a:p>
          <a:r>
            <a:rPr lang="et-EE" sz="1100"/>
            <a:t>Seadusandlik ja poliitiline keskkond</a:t>
          </a:r>
        </a:p>
      </dgm:t>
    </dgm:pt>
    <dgm:pt modelId="{60826648-E468-4CA8-ADA0-4CB8D3FF0C9D}" type="parTrans" cxnId="{22E17AED-EDE3-4AF4-9CB8-87F91C3A8311}">
      <dgm:prSet/>
      <dgm:spPr/>
      <dgm:t>
        <a:bodyPr/>
        <a:lstStyle/>
        <a:p>
          <a:endParaRPr lang="et-EE"/>
        </a:p>
      </dgm:t>
    </dgm:pt>
    <dgm:pt modelId="{4354EEC7-53C2-495E-95C4-70A3B7DC891C}" type="sibTrans" cxnId="{22E17AED-EDE3-4AF4-9CB8-87F91C3A8311}">
      <dgm:prSet/>
      <dgm:spPr/>
      <dgm:t>
        <a:bodyPr/>
        <a:lstStyle/>
        <a:p>
          <a:endParaRPr lang="et-EE"/>
        </a:p>
      </dgm:t>
    </dgm:pt>
    <dgm:pt modelId="{4F8C1ED2-A9EF-4299-A6C3-119F3AF0C468}">
      <dgm:prSet phldrT="[Text]" custT="1"/>
      <dgm:spPr/>
      <dgm:t>
        <a:bodyPr/>
        <a:lstStyle/>
        <a:p>
          <a:r>
            <a:rPr lang="et-EE" sz="1100"/>
            <a:t>EL ja rahvusvahelised õigusaktid ja suundumused</a:t>
          </a:r>
        </a:p>
      </dgm:t>
    </dgm:pt>
    <dgm:pt modelId="{BF2C4DD1-21C4-41E3-88E2-1676C36A9709}" type="parTrans" cxnId="{9CB6C636-3C32-48E2-9D14-95FEEADA9719}">
      <dgm:prSet/>
      <dgm:spPr/>
      <dgm:t>
        <a:bodyPr/>
        <a:lstStyle/>
        <a:p>
          <a:endParaRPr lang="et-EE"/>
        </a:p>
      </dgm:t>
    </dgm:pt>
    <dgm:pt modelId="{1D454E37-18D5-459D-9330-A7771F8EF36C}" type="sibTrans" cxnId="{9CB6C636-3C32-48E2-9D14-95FEEADA9719}">
      <dgm:prSet/>
      <dgm:spPr/>
      <dgm:t>
        <a:bodyPr/>
        <a:lstStyle/>
        <a:p>
          <a:endParaRPr lang="et-EE"/>
        </a:p>
      </dgm:t>
    </dgm:pt>
    <dgm:pt modelId="{DC8DF27F-98D1-458F-ABBF-D33BB8B19755}">
      <dgm:prSet phldrT="[Text]" custT="1"/>
      <dgm:spPr/>
      <dgm:t>
        <a:bodyPr/>
        <a:lstStyle/>
        <a:p>
          <a:r>
            <a:rPr lang="et-EE" sz="1100"/>
            <a:t>Rahvastiku muutumine</a:t>
          </a:r>
        </a:p>
      </dgm:t>
    </dgm:pt>
    <dgm:pt modelId="{1F10D6A9-3056-4459-BCF5-FD807C90F4CD}" type="parTrans" cxnId="{724C32F3-5793-4732-A339-DFD001CBAC22}">
      <dgm:prSet/>
      <dgm:spPr/>
      <dgm:t>
        <a:bodyPr/>
        <a:lstStyle/>
        <a:p>
          <a:endParaRPr lang="en-US"/>
        </a:p>
      </dgm:t>
    </dgm:pt>
    <dgm:pt modelId="{4E538AD8-40FD-4B83-9D0C-0650A4BD3D98}" type="sibTrans" cxnId="{724C32F3-5793-4732-A339-DFD001CBAC22}">
      <dgm:prSet/>
      <dgm:spPr/>
      <dgm:t>
        <a:bodyPr/>
        <a:lstStyle/>
        <a:p>
          <a:endParaRPr lang="en-US"/>
        </a:p>
      </dgm:t>
    </dgm:pt>
    <dgm:pt modelId="{3B8DAC50-AD37-43E5-A412-BB13CFEBD898}">
      <dgm:prSet phldrT="[Text]" custT="1"/>
      <dgm:spPr/>
      <dgm:t>
        <a:bodyPr/>
        <a:lstStyle/>
        <a:p>
          <a:r>
            <a:rPr lang="et-EE" sz="1100"/>
            <a:t>Kehtivad õigusaktid</a:t>
          </a:r>
        </a:p>
      </dgm:t>
    </dgm:pt>
    <dgm:pt modelId="{373049B8-8FD1-4912-B269-663C955B436C}" type="parTrans" cxnId="{52B43849-3B66-4145-9A6D-B76DC6673FA3}">
      <dgm:prSet/>
      <dgm:spPr/>
      <dgm:t>
        <a:bodyPr/>
        <a:lstStyle/>
        <a:p>
          <a:endParaRPr lang="en-US"/>
        </a:p>
      </dgm:t>
    </dgm:pt>
    <dgm:pt modelId="{8B2B0D35-1985-47FD-94D1-4268909C9C5D}" type="sibTrans" cxnId="{52B43849-3B66-4145-9A6D-B76DC6673FA3}">
      <dgm:prSet/>
      <dgm:spPr/>
      <dgm:t>
        <a:bodyPr/>
        <a:lstStyle/>
        <a:p>
          <a:endParaRPr lang="en-US"/>
        </a:p>
      </dgm:t>
    </dgm:pt>
    <dgm:pt modelId="{336DF89D-632B-438B-B5E7-C084AD1DE718}">
      <dgm:prSet phldrT="[Text]" custT="1"/>
      <dgm:spPr/>
      <dgm:t>
        <a:bodyPr/>
        <a:lstStyle/>
        <a:p>
          <a:r>
            <a:rPr lang="et-EE" sz="1100"/>
            <a:t>IKT mõju majanduse arengule</a:t>
          </a:r>
        </a:p>
      </dgm:t>
    </dgm:pt>
    <dgm:pt modelId="{DB2B6593-523C-457F-BA1B-7288B8893710}" type="parTrans" cxnId="{E750B92E-2F96-48AF-9244-71BE2E4399CE}">
      <dgm:prSet/>
      <dgm:spPr/>
      <dgm:t>
        <a:bodyPr/>
        <a:lstStyle/>
        <a:p>
          <a:endParaRPr lang="en-US"/>
        </a:p>
      </dgm:t>
    </dgm:pt>
    <dgm:pt modelId="{26332D23-137C-4216-AC18-0F57D9C9E73F}" type="sibTrans" cxnId="{E750B92E-2F96-48AF-9244-71BE2E4399CE}">
      <dgm:prSet/>
      <dgm:spPr/>
      <dgm:t>
        <a:bodyPr/>
        <a:lstStyle/>
        <a:p>
          <a:endParaRPr lang="en-US"/>
        </a:p>
      </dgm:t>
    </dgm:pt>
    <dgm:pt modelId="{5B6A8109-9207-41A7-88FF-45478DE5E26C}">
      <dgm:prSet phldrT="[Text]" custT="1"/>
      <dgm:spPr/>
      <dgm:t>
        <a:bodyPr/>
        <a:lstStyle/>
        <a:p>
          <a:r>
            <a:rPr lang="et-EE" sz="1100"/>
            <a:t>Hariduse ja karjääri trendid</a:t>
          </a:r>
        </a:p>
      </dgm:t>
    </dgm:pt>
    <dgm:pt modelId="{D92B152E-112F-42B8-9B28-EB5CAABB058F}" type="parTrans" cxnId="{059B2DE8-FA00-4A32-90C1-0F61F4269882}">
      <dgm:prSet/>
      <dgm:spPr/>
      <dgm:t>
        <a:bodyPr/>
        <a:lstStyle/>
        <a:p>
          <a:endParaRPr lang="en-US"/>
        </a:p>
      </dgm:t>
    </dgm:pt>
    <dgm:pt modelId="{677E1D5A-631C-4262-B610-F55B08A3C21E}" type="sibTrans" cxnId="{059B2DE8-FA00-4A32-90C1-0F61F4269882}">
      <dgm:prSet/>
      <dgm:spPr/>
      <dgm:t>
        <a:bodyPr/>
        <a:lstStyle/>
        <a:p>
          <a:endParaRPr lang="en-US"/>
        </a:p>
      </dgm:t>
    </dgm:pt>
    <dgm:pt modelId="{0EE485CE-2C8A-4D08-BF00-F385E6743DE4}">
      <dgm:prSet phldrT="[Text]" custT="1"/>
      <dgm:spPr/>
      <dgm:t>
        <a:bodyPr/>
        <a:lstStyle/>
        <a:p>
          <a:r>
            <a:rPr lang="et-EE" sz="1100"/>
            <a:t>Interneti kättesaadavus</a:t>
          </a:r>
        </a:p>
      </dgm:t>
    </dgm:pt>
    <dgm:pt modelId="{D5C2BAE7-9B06-470B-8CEF-F355B90F3CFF}" type="parTrans" cxnId="{394D9B66-CF0D-46DB-8A97-98A7941D31A2}">
      <dgm:prSet/>
      <dgm:spPr/>
      <dgm:t>
        <a:bodyPr/>
        <a:lstStyle/>
        <a:p>
          <a:endParaRPr lang="en-US"/>
        </a:p>
      </dgm:t>
    </dgm:pt>
    <dgm:pt modelId="{D53C79B2-2A82-4E44-909B-EAA6BD8E3038}" type="sibTrans" cxnId="{394D9B66-CF0D-46DB-8A97-98A7941D31A2}">
      <dgm:prSet/>
      <dgm:spPr/>
      <dgm:t>
        <a:bodyPr/>
        <a:lstStyle/>
        <a:p>
          <a:endParaRPr lang="en-US"/>
        </a:p>
      </dgm:t>
    </dgm:pt>
    <dgm:pt modelId="{87E5570A-CF64-4005-B809-9FF0D9CAEB31}">
      <dgm:prSet phldrT="[Text]" custT="1"/>
      <dgm:spPr/>
      <dgm:t>
        <a:bodyPr/>
        <a:lstStyle/>
        <a:p>
          <a:r>
            <a:rPr lang="et-EE" sz="1100"/>
            <a:t>Jätkusuutliku elukeskkonna loomine</a:t>
          </a:r>
        </a:p>
      </dgm:t>
    </dgm:pt>
    <dgm:pt modelId="{269047E5-685D-432C-9B29-B202E6066787}" type="parTrans" cxnId="{FC984E20-A2D9-4F5E-BBD0-69BD876745D4}">
      <dgm:prSet/>
      <dgm:spPr/>
      <dgm:t>
        <a:bodyPr/>
        <a:lstStyle/>
        <a:p>
          <a:endParaRPr lang="en-US"/>
        </a:p>
      </dgm:t>
    </dgm:pt>
    <dgm:pt modelId="{098DFEE5-F86F-438F-92D8-291B146106FA}" type="sibTrans" cxnId="{FC984E20-A2D9-4F5E-BBD0-69BD876745D4}">
      <dgm:prSet/>
      <dgm:spPr/>
      <dgm:t>
        <a:bodyPr/>
        <a:lstStyle/>
        <a:p>
          <a:endParaRPr lang="en-US"/>
        </a:p>
      </dgm:t>
    </dgm:pt>
    <dgm:pt modelId="{7301A26F-3746-49DD-99EB-8149AFBBA570}">
      <dgm:prSet phldrT="[Text]" custT="1"/>
      <dgm:spPr/>
      <dgm:t>
        <a:bodyPr/>
        <a:lstStyle/>
        <a:p>
          <a:r>
            <a:rPr lang="et-EE" sz="1100"/>
            <a:t>Küberkuritegevus</a:t>
          </a:r>
        </a:p>
      </dgm:t>
    </dgm:pt>
    <dgm:pt modelId="{865A66DD-C391-4F86-B837-E29BFBD1B9EC}" type="parTrans" cxnId="{2212067D-8197-44F5-AEA9-4A1DED1A1305}">
      <dgm:prSet/>
      <dgm:spPr/>
      <dgm:t>
        <a:bodyPr/>
        <a:lstStyle/>
        <a:p>
          <a:endParaRPr lang="et-EE"/>
        </a:p>
      </dgm:t>
    </dgm:pt>
    <dgm:pt modelId="{F9AEB8AA-8D44-4DBF-A7B0-B12CEE10B94B}" type="sibTrans" cxnId="{2212067D-8197-44F5-AEA9-4A1DED1A1305}">
      <dgm:prSet/>
      <dgm:spPr/>
      <dgm:t>
        <a:bodyPr/>
        <a:lstStyle/>
        <a:p>
          <a:endParaRPr lang="et-EE"/>
        </a:p>
      </dgm:t>
    </dgm:pt>
    <dgm:pt modelId="{59CA3135-AD13-4675-8AC9-BB13A5628149}">
      <dgm:prSet phldrT="[Text]" custT="1"/>
      <dgm:spPr/>
      <dgm:t>
        <a:bodyPr/>
        <a:lstStyle/>
        <a:p>
          <a:r>
            <a:rPr lang="et-EE" sz="1100"/>
            <a:t>Regionaalareng</a:t>
          </a:r>
        </a:p>
      </dgm:t>
    </dgm:pt>
    <dgm:pt modelId="{F9DAF129-5913-4149-8F8D-3E7BAF3D7006}" type="parTrans" cxnId="{474909B0-D0D4-4016-AFFC-EA552EE0ECA8}">
      <dgm:prSet/>
      <dgm:spPr/>
    </dgm:pt>
    <dgm:pt modelId="{6BD2F8D8-BCCF-4F55-940B-F4D99339315F}" type="sibTrans" cxnId="{474909B0-D0D4-4016-AFFC-EA552EE0ECA8}">
      <dgm:prSet/>
      <dgm:spPr/>
    </dgm:pt>
    <dgm:pt modelId="{94DF942E-06D9-4274-9393-64AAFE82747D}" type="pres">
      <dgm:prSet presAssocID="{CF87ACB9-465A-4F37-9919-28733AA54323}" presName="Name0" presStyleCnt="0">
        <dgm:presLayoutVars>
          <dgm:dir/>
          <dgm:animLvl val="lvl"/>
          <dgm:resizeHandles val="exact"/>
        </dgm:presLayoutVars>
      </dgm:prSet>
      <dgm:spPr/>
      <dgm:t>
        <a:bodyPr/>
        <a:lstStyle/>
        <a:p>
          <a:endParaRPr lang="et-EE"/>
        </a:p>
      </dgm:t>
    </dgm:pt>
    <dgm:pt modelId="{09DEBB6C-C1CA-4FFC-A058-AF58885F64DB}" type="pres">
      <dgm:prSet presAssocID="{5DF7C52D-799D-4287-99F5-3CF4A3F0D062}" presName="composite" presStyleCnt="0"/>
      <dgm:spPr/>
    </dgm:pt>
    <dgm:pt modelId="{CA7A9323-155D-4F53-B9FB-062D8ACFDE4A}" type="pres">
      <dgm:prSet presAssocID="{5DF7C52D-799D-4287-99F5-3CF4A3F0D062}" presName="parTx" presStyleLbl="alignNode1" presStyleIdx="0" presStyleCnt="5" custScaleX="113059" custLinFactNeighborX="18752" custLinFactNeighborY="5703">
        <dgm:presLayoutVars>
          <dgm:chMax val="0"/>
          <dgm:chPref val="0"/>
          <dgm:bulletEnabled val="1"/>
        </dgm:presLayoutVars>
      </dgm:prSet>
      <dgm:spPr/>
      <dgm:t>
        <a:bodyPr/>
        <a:lstStyle/>
        <a:p>
          <a:endParaRPr lang="et-EE"/>
        </a:p>
      </dgm:t>
    </dgm:pt>
    <dgm:pt modelId="{00D0A43F-23B7-40D5-A95D-D84C26DD21FB}" type="pres">
      <dgm:prSet presAssocID="{5DF7C52D-799D-4287-99F5-3CF4A3F0D062}" presName="desTx" presStyleLbl="alignAccFollowNode1" presStyleIdx="0" presStyleCnt="5" custScaleX="113312" custScaleY="99906" custLinFactNeighborX="17938" custLinFactNeighborY="385">
        <dgm:presLayoutVars>
          <dgm:bulletEnabled val="1"/>
        </dgm:presLayoutVars>
      </dgm:prSet>
      <dgm:spPr/>
      <dgm:t>
        <a:bodyPr/>
        <a:lstStyle/>
        <a:p>
          <a:endParaRPr lang="et-EE"/>
        </a:p>
      </dgm:t>
    </dgm:pt>
    <dgm:pt modelId="{8028256D-CFA4-4530-8279-8C97E2E66B31}" type="pres">
      <dgm:prSet presAssocID="{4354EEC7-53C2-495E-95C4-70A3B7DC891C}" presName="space" presStyleCnt="0"/>
      <dgm:spPr/>
    </dgm:pt>
    <dgm:pt modelId="{8F6D3832-F07D-42B1-85D3-05A74E055D22}" type="pres">
      <dgm:prSet presAssocID="{373FBF1C-2D8A-4BFB-9896-F09075330EF3}" presName="composite" presStyleCnt="0"/>
      <dgm:spPr/>
    </dgm:pt>
    <dgm:pt modelId="{876975B5-BB35-46C6-9B4F-7B70CA6C95B1}" type="pres">
      <dgm:prSet presAssocID="{373FBF1C-2D8A-4BFB-9896-F09075330EF3}" presName="parTx" presStyleLbl="alignNode1" presStyleIdx="1" presStyleCnt="5" custLinFactNeighborX="11320" custLinFactNeighborY="-1708">
        <dgm:presLayoutVars>
          <dgm:chMax val="0"/>
          <dgm:chPref val="0"/>
          <dgm:bulletEnabled val="1"/>
        </dgm:presLayoutVars>
      </dgm:prSet>
      <dgm:spPr/>
      <dgm:t>
        <a:bodyPr/>
        <a:lstStyle/>
        <a:p>
          <a:endParaRPr lang="et-EE"/>
        </a:p>
      </dgm:t>
    </dgm:pt>
    <dgm:pt modelId="{3EED9A7B-D43A-4F56-87CD-F1C1411E94B9}" type="pres">
      <dgm:prSet presAssocID="{373FBF1C-2D8A-4BFB-9896-F09075330EF3}" presName="desTx" presStyleLbl="alignAccFollowNode1" presStyleIdx="1" presStyleCnt="5" custScaleY="98529" custLinFactNeighborX="12367" custLinFactNeighborY="-851">
        <dgm:presLayoutVars>
          <dgm:bulletEnabled val="1"/>
        </dgm:presLayoutVars>
      </dgm:prSet>
      <dgm:spPr/>
      <dgm:t>
        <a:bodyPr/>
        <a:lstStyle/>
        <a:p>
          <a:endParaRPr lang="et-EE"/>
        </a:p>
      </dgm:t>
    </dgm:pt>
    <dgm:pt modelId="{18773D3F-63B7-4816-81EE-AE5E0347569D}" type="pres">
      <dgm:prSet presAssocID="{3B911948-DA29-448D-A5B4-B5B396C4947E}" presName="space" presStyleCnt="0"/>
      <dgm:spPr/>
    </dgm:pt>
    <dgm:pt modelId="{9AFD62B8-9D4B-48F0-8E32-C633C2FD7F66}" type="pres">
      <dgm:prSet presAssocID="{80B56F3C-E770-4DAF-872D-45E10E1FFD8E}" presName="composite" presStyleCnt="0"/>
      <dgm:spPr/>
    </dgm:pt>
    <dgm:pt modelId="{09ECC79E-E743-4B62-A878-BB189C4BBA74}" type="pres">
      <dgm:prSet presAssocID="{80B56F3C-E770-4DAF-872D-45E10E1FFD8E}" presName="parTx" presStyleLbl="alignNode1" presStyleIdx="2" presStyleCnt="5" custScaleX="116083" custLinFactNeighborX="8112">
        <dgm:presLayoutVars>
          <dgm:chMax val="0"/>
          <dgm:chPref val="0"/>
          <dgm:bulletEnabled val="1"/>
        </dgm:presLayoutVars>
      </dgm:prSet>
      <dgm:spPr/>
      <dgm:t>
        <a:bodyPr/>
        <a:lstStyle/>
        <a:p>
          <a:endParaRPr lang="et-EE"/>
        </a:p>
      </dgm:t>
    </dgm:pt>
    <dgm:pt modelId="{DABE2C0B-C977-4F10-89D8-36DFD8CB894E}" type="pres">
      <dgm:prSet presAssocID="{80B56F3C-E770-4DAF-872D-45E10E1FFD8E}" presName="desTx" presStyleLbl="alignAccFollowNode1" presStyleIdx="2" presStyleCnt="5" custScaleX="117864" custScaleY="100000" custLinFactNeighborX="8112">
        <dgm:presLayoutVars>
          <dgm:bulletEnabled val="1"/>
        </dgm:presLayoutVars>
      </dgm:prSet>
      <dgm:spPr/>
      <dgm:t>
        <a:bodyPr/>
        <a:lstStyle/>
        <a:p>
          <a:endParaRPr lang="et-EE"/>
        </a:p>
      </dgm:t>
    </dgm:pt>
    <dgm:pt modelId="{462ACE44-CFE3-4160-9535-95EF9D3503B6}" type="pres">
      <dgm:prSet presAssocID="{5CA8CF23-AED1-46A4-9AA5-D61DBD14A085}" presName="space" presStyleCnt="0"/>
      <dgm:spPr/>
    </dgm:pt>
    <dgm:pt modelId="{DFEF04D3-E4E8-46DA-B3C5-0C7C55E77F85}" type="pres">
      <dgm:prSet presAssocID="{18325265-27AF-4FA0-B8B2-B96A5D5BC79A}" presName="composite" presStyleCnt="0"/>
      <dgm:spPr/>
    </dgm:pt>
    <dgm:pt modelId="{2523B90E-B79B-40FE-BE81-839BF61B72D6}" type="pres">
      <dgm:prSet presAssocID="{18325265-27AF-4FA0-B8B2-B96A5D5BC79A}" presName="parTx" presStyleLbl="alignNode1" presStyleIdx="3" presStyleCnt="5" custLinFactNeighborX="4905">
        <dgm:presLayoutVars>
          <dgm:chMax val="0"/>
          <dgm:chPref val="0"/>
          <dgm:bulletEnabled val="1"/>
        </dgm:presLayoutVars>
      </dgm:prSet>
      <dgm:spPr/>
      <dgm:t>
        <a:bodyPr/>
        <a:lstStyle/>
        <a:p>
          <a:endParaRPr lang="et-EE"/>
        </a:p>
      </dgm:t>
    </dgm:pt>
    <dgm:pt modelId="{9F6ED1DA-C06D-4712-8508-5A9B50381EA6}" type="pres">
      <dgm:prSet presAssocID="{18325265-27AF-4FA0-B8B2-B96A5D5BC79A}" presName="desTx" presStyleLbl="alignAccFollowNode1" presStyleIdx="3" presStyleCnt="5" custScaleY="100000" custLinFactNeighborX="4905">
        <dgm:presLayoutVars>
          <dgm:bulletEnabled val="1"/>
        </dgm:presLayoutVars>
      </dgm:prSet>
      <dgm:spPr/>
      <dgm:t>
        <a:bodyPr/>
        <a:lstStyle/>
        <a:p>
          <a:endParaRPr lang="et-EE"/>
        </a:p>
      </dgm:t>
    </dgm:pt>
    <dgm:pt modelId="{66F8403A-4A5F-4573-AFE1-57D313290972}" type="pres">
      <dgm:prSet presAssocID="{B3214BA7-3B4B-4106-A5CE-7052FE8C3F5D}" presName="space" presStyleCnt="0"/>
      <dgm:spPr/>
    </dgm:pt>
    <dgm:pt modelId="{ACCC663F-4C1F-403D-9FBD-57CB706A6761}" type="pres">
      <dgm:prSet presAssocID="{33D215F5-C357-4127-B5AD-A3F4B347BC45}" presName="composite" presStyleCnt="0"/>
      <dgm:spPr/>
    </dgm:pt>
    <dgm:pt modelId="{429AE7DD-B4E6-4D79-9425-CC8428021BE7}" type="pres">
      <dgm:prSet presAssocID="{33D215F5-C357-4127-B5AD-A3F4B347BC45}" presName="parTx" presStyleLbl="alignNode1" presStyleIdx="4" presStyleCnt="5">
        <dgm:presLayoutVars>
          <dgm:chMax val="0"/>
          <dgm:chPref val="0"/>
          <dgm:bulletEnabled val="1"/>
        </dgm:presLayoutVars>
      </dgm:prSet>
      <dgm:spPr/>
      <dgm:t>
        <a:bodyPr/>
        <a:lstStyle/>
        <a:p>
          <a:endParaRPr lang="et-EE"/>
        </a:p>
      </dgm:t>
    </dgm:pt>
    <dgm:pt modelId="{9DC66CB8-4B52-4F1F-B0E3-78E627F4E163}" type="pres">
      <dgm:prSet presAssocID="{33D215F5-C357-4127-B5AD-A3F4B347BC45}" presName="desTx" presStyleLbl="alignAccFollowNode1" presStyleIdx="4" presStyleCnt="5" custScaleY="100000" custLinFactNeighborX="-823" custLinFactNeighborY="1511">
        <dgm:presLayoutVars>
          <dgm:bulletEnabled val="1"/>
        </dgm:presLayoutVars>
      </dgm:prSet>
      <dgm:spPr/>
      <dgm:t>
        <a:bodyPr/>
        <a:lstStyle/>
        <a:p>
          <a:endParaRPr lang="et-EE"/>
        </a:p>
      </dgm:t>
    </dgm:pt>
  </dgm:ptLst>
  <dgm:cxnLst>
    <dgm:cxn modelId="{3A9B41F7-E606-4DB0-BCB0-C1562E850D90}" type="presOf" srcId="{373FBF1C-2D8A-4BFB-9896-F09075330EF3}" destId="{876975B5-BB35-46C6-9B4F-7B70CA6C95B1}" srcOrd="0" destOrd="0" presId="urn:microsoft.com/office/officeart/2005/8/layout/hList1"/>
    <dgm:cxn modelId="{FA4B265D-AE39-4C92-8777-2CE64E7BB0A5}" srcId="{33D215F5-C357-4127-B5AD-A3F4B347BC45}" destId="{7DC570B1-0151-4C89-8D5C-ADFB46A21386}" srcOrd="2" destOrd="0" parTransId="{25683C70-42BA-4D5D-808E-81BA614E9B9E}" sibTransId="{CE1EA5BD-C4DD-4AE2-B615-DE309BFB5C17}"/>
    <dgm:cxn modelId="{B2D90FA3-F732-4C34-A1A1-02E8E0605AD6}" type="presOf" srcId="{CF87ACB9-465A-4F37-9919-28733AA54323}" destId="{94DF942E-06D9-4274-9393-64AAFE82747D}" srcOrd="0" destOrd="0" presId="urn:microsoft.com/office/officeart/2005/8/layout/hList1"/>
    <dgm:cxn modelId="{67216DD1-9A7D-4DE0-A237-25E1E3971273}" type="presOf" srcId="{2E22EC7A-8C30-481C-8AA2-2274D996A93E}" destId="{9F6ED1DA-C06D-4712-8508-5A9B50381EA6}" srcOrd="0" destOrd="2" presId="urn:microsoft.com/office/officeart/2005/8/layout/hList1"/>
    <dgm:cxn modelId="{209B4A46-7F3F-42FE-9664-95D41A19ED8B}" type="presOf" srcId="{5DF7C52D-799D-4287-99F5-3CF4A3F0D062}" destId="{CA7A9323-155D-4F53-B9FB-062D8ACFDE4A}" srcOrd="0" destOrd="0" presId="urn:microsoft.com/office/officeart/2005/8/layout/hList1"/>
    <dgm:cxn modelId="{70A50781-6F92-4FF6-8BA9-3CFD5C244FE9}" srcId="{CF87ACB9-465A-4F37-9919-28733AA54323}" destId="{373FBF1C-2D8A-4BFB-9896-F09075330EF3}" srcOrd="1" destOrd="0" parTransId="{6D323234-95B5-4904-808B-F7ACF8A558B2}" sibTransId="{3B911948-DA29-448D-A5B4-B5B396C4947E}"/>
    <dgm:cxn modelId="{059B2DE8-FA00-4A32-90C1-0F61F4269882}" srcId="{80B56F3C-E770-4DAF-872D-45E10E1FFD8E}" destId="{5B6A8109-9207-41A7-88FF-45478DE5E26C}" srcOrd="0" destOrd="0" parTransId="{D92B152E-112F-42B8-9B28-EB5CAABB058F}" sibTransId="{677E1D5A-631C-4262-B610-F55B08A3C21E}"/>
    <dgm:cxn modelId="{AFDB2AFD-C28B-4197-8A09-AB1C5C1733FE}" srcId="{80B56F3C-E770-4DAF-872D-45E10E1FFD8E}" destId="{68B70641-896E-4C22-A2A0-5E5281374147}" srcOrd="1" destOrd="0" parTransId="{2A0F68D2-587E-4C52-B8B4-9842FCCF24E8}" sibTransId="{6F78EC6A-81FD-4DD4-81DF-DE40E34124FE}"/>
    <dgm:cxn modelId="{315AA17D-670C-4500-9365-2DA8B3C1726D}" srcId="{18325265-27AF-4FA0-B8B2-B96A5D5BC79A}" destId="{3FE22F89-1A52-411D-BE99-F13C817C2532}" srcOrd="1" destOrd="0" parTransId="{CFCCC95A-FE84-4DAC-91A2-3D00600C7B7E}" sibTransId="{3FE80E47-2128-46CF-8366-8BEB3233092E}"/>
    <dgm:cxn modelId="{2212067D-8197-44F5-AEA9-4A1DED1A1305}" srcId="{18325265-27AF-4FA0-B8B2-B96A5D5BC79A}" destId="{7301A26F-3746-49DD-99EB-8149AFBBA570}" srcOrd="3" destOrd="0" parTransId="{865A66DD-C391-4F86-B837-E29BFBD1B9EC}" sibTransId="{F9AEB8AA-8D44-4DBF-A7B0-B12CEE10B94B}"/>
    <dgm:cxn modelId="{2F2CD2E2-D8CC-49D3-A567-CAA07CCE49A8}" type="presOf" srcId="{80B56F3C-E770-4DAF-872D-45E10E1FFD8E}" destId="{09ECC79E-E743-4B62-A878-BB189C4BBA74}" srcOrd="0" destOrd="0" presId="urn:microsoft.com/office/officeart/2005/8/layout/hList1"/>
    <dgm:cxn modelId="{235FCA2C-3CA9-4DF5-9BF9-EC0DA1220BCE}" type="presOf" srcId="{87E5570A-CF64-4005-B809-9FF0D9CAEB31}" destId="{9DC66CB8-4B52-4F1F-B0E3-78E627F4E163}" srcOrd="0" destOrd="0" presId="urn:microsoft.com/office/officeart/2005/8/layout/hList1"/>
    <dgm:cxn modelId="{D428355E-2D28-4A05-B66F-4106F125274D}" srcId="{CF87ACB9-465A-4F37-9919-28733AA54323}" destId="{80B56F3C-E770-4DAF-872D-45E10E1FFD8E}" srcOrd="2" destOrd="0" parTransId="{05671C03-2BA2-4F88-8DFC-A4A82F23DF4A}" sibTransId="{5CA8CF23-AED1-46A4-9AA5-D61DBD14A085}"/>
    <dgm:cxn modelId="{A133CA6E-3DAD-4CA6-9269-EF2C59EAD230}" srcId="{CF87ACB9-465A-4F37-9919-28733AA54323}" destId="{33D215F5-C357-4127-B5AD-A3F4B347BC45}" srcOrd="4" destOrd="0" parTransId="{B1C878E9-1DEC-47FF-AEC1-2C187F5C6FB6}" sibTransId="{2AB94D0D-8AF8-4304-AE94-42E20D1E5A7B}"/>
    <dgm:cxn modelId="{F1500453-68F3-400E-AB45-5F060A5BB3DB}" srcId="{373FBF1C-2D8A-4BFB-9896-F09075330EF3}" destId="{AACAB4AB-1B32-47AC-AE0E-738917975684}" srcOrd="1" destOrd="0" parTransId="{F7BC231C-7B50-40F1-BCFE-EE0181C1C68E}" sibTransId="{198CCA2A-71AB-401F-AD3A-48EA2603DE9D}"/>
    <dgm:cxn modelId="{EB655C37-CB66-4A99-AE0C-5C65B3D0BC70}" type="presOf" srcId="{68B70641-896E-4C22-A2A0-5E5281374147}" destId="{DABE2C0B-C977-4F10-89D8-36DFD8CB894E}" srcOrd="0" destOrd="1" presId="urn:microsoft.com/office/officeart/2005/8/layout/hList1"/>
    <dgm:cxn modelId="{E17EB2BD-FDDA-4E1E-80BE-6DE6434F8BBE}" type="presOf" srcId="{33D215F5-C357-4127-B5AD-A3F4B347BC45}" destId="{429AE7DD-B4E6-4D79-9425-CC8428021BE7}" srcOrd="0" destOrd="0" presId="urn:microsoft.com/office/officeart/2005/8/layout/hList1"/>
    <dgm:cxn modelId="{CF4F6BCB-8421-43CC-AE35-5269186FC324}" type="presOf" srcId="{4F8C1ED2-A9EF-4299-A6C3-119F3AF0C468}" destId="{00D0A43F-23B7-40D5-A95D-D84C26DD21FB}" srcOrd="0" destOrd="1" presId="urn:microsoft.com/office/officeart/2005/8/layout/hList1"/>
    <dgm:cxn modelId="{FC984E20-A2D9-4F5E-BBD0-69BD876745D4}" srcId="{33D215F5-C357-4127-B5AD-A3F4B347BC45}" destId="{87E5570A-CF64-4005-B809-9FF0D9CAEB31}" srcOrd="0" destOrd="0" parTransId="{269047E5-685D-432C-9B29-B202E6066787}" sibTransId="{098DFEE5-F86F-438F-92D8-291B146106FA}"/>
    <dgm:cxn modelId="{22E17AED-EDE3-4AF4-9CB8-87F91C3A8311}" srcId="{CF87ACB9-465A-4F37-9919-28733AA54323}" destId="{5DF7C52D-799D-4287-99F5-3CF4A3F0D062}" srcOrd="0" destOrd="0" parTransId="{60826648-E468-4CA8-ADA0-4CB8D3FF0C9D}" sibTransId="{4354EEC7-53C2-495E-95C4-70A3B7DC891C}"/>
    <dgm:cxn modelId="{37044FCD-EB26-4057-9343-3B5039FBCA80}" type="presOf" srcId="{0EE485CE-2C8A-4D08-BF00-F385E6743DE4}" destId="{9F6ED1DA-C06D-4712-8508-5A9B50381EA6}" srcOrd="0" destOrd="0" presId="urn:microsoft.com/office/officeart/2005/8/layout/hList1"/>
    <dgm:cxn modelId="{710C9841-2887-4598-B180-EFB647D6D4CD}" type="presOf" srcId="{DC8DF27F-98D1-458F-ABBF-D33BB8B19755}" destId="{DABE2C0B-C977-4F10-89D8-36DFD8CB894E}" srcOrd="0" destOrd="3" presId="urn:microsoft.com/office/officeart/2005/8/layout/hList1"/>
    <dgm:cxn modelId="{F745DC0D-5BD7-4D36-AEED-0B996B443969}" type="presOf" srcId="{3FE22F89-1A52-411D-BE99-F13C817C2532}" destId="{9F6ED1DA-C06D-4712-8508-5A9B50381EA6}" srcOrd="0" destOrd="1" presId="urn:microsoft.com/office/officeart/2005/8/layout/hList1"/>
    <dgm:cxn modelId="{394D9B66-CF0D-46DB-8A97-98A7941D31A2}" srcId="{18325265-27AF-4FA0-B8B2-B96A5D5BC79A}" destId="{0EE485CE-2C8A-4D08-BF00-F385E6743DE4}" srcOrd="0" destOrd="0" parTransId="{D5C2BAE7-9B06-470B-8CEF-F355B90F3CFF}" sibTransId="{D53C79B2-2A82-4E44-909B-EAA6BD8E3038}"/>
    <dgm:cxn modelId="{83ADC241-7089-4D3F-AFA2-17233B756F4B}" type="presOf" srcId="{7DC570B1-0151-4C89-8D5C-ADFB46A21386}" destId="{9DC66CB8-4B52-4F1F-B0E3-78E627F4E163}" srcOrd="0" destOrd="2" presId="urn:microsoft.com/office/officeart/2005/8/layout/hList1"/>
    <dgm:cxn modelId="{724C32F3-5793-4732-A339-DFD001CBAC22}" srcId="{80B56F3C-E770-4DAF-872D-45E10E1FFD8E}" destId="{DC8DF27F-98D1-458F-ABBF-D33BB8B19755}" srcOrd="3" destOrd="0" parTransId="{1F10D6A9-3056-4459-BCF5-FD807C90F4CD}" sibTransId="{4E538AD8-40FD-4B83-9D0C-0650A4BD3D98}"/>
    <dgm:cxn modelId="{301A03E9-DFF4-4A1D-9061-8A097B99B3F3}" type="presOf" srcId="{AACAB4AB-1B32-47AC-AE0E-738917975684}" destId="{3EED9A7B-D43A-4F56-87CD-F1C1411E94B9}" srcOrd="0" destOrd="1" presId="urn:microsoft.com/office/officeart/2005/8/layout/hList1"/>
    <dgm:cxn modelId="{7F9BD756-EC2E-4E38-83C7-C0310EB5B413}" type="presOf" srcId="{8B84465F-8BA4-4CC2-8A4D-3AB429AA07D2}" destId="{9DC66CB8-4B52-4F1F-B0E3-78E627F4E163}" srcOrd="0" destOrd="1" presId="urn:microsoft.com/office/officeart/2005/8/layout/hList1"/>
    <dgm:cxn modelId="{9CB6C636-3C32-48E2-9D14-95FEEADA9719}" srcId="{5DF7C52D-799D-4287-99F5-3CF4A3F0D062}" destId="{4F8C1ED2-A9EF-4299-A6C3-119F3AF0C468}" srcOrd="1" destOrd="0" parTransId="{BF2C4DD1-21C4-41E3-88E2-1676C36A9709}" sibTransId="{1D454E37-18D5-459D-9330-A7771F8EF36C}"/>
    <dgm:cxn modelId="{78843CC0-BFD1-4E3D-A2AC-229AD20ABE52}" type="presOf" srcId="{18325265-27AF-4FA0-B8B2-B96A5D5BC79A}" destId="{2523B90E-B79B-40FE-BE81-839BF61B72D6}" srcOrd="0" destOrd="0" presId="urn:microsoft.com/office/officeart/2005/8/layout/hList1"/>
    <dgm:cxn modelId="{474909B0-D0D4-4016-AFFC-EA552EE0ECA8}" srcId="{80B56F3C-E770-4DAF-872D-45E10E1FFD8E}" destId="{59CA3135-AD13-4675-8AC9-BB13A5628149}" srcOrd="2" destOrd="0" parTransId="{F9DAF129-5913-4149-8F8D-3E7BAF3D7006}" sibTransId="{6BD2F8D8-BCCF-4F55-940B-F4D99339315F}"/>
    <dgm:cxn modelId="{9E003AE2-0D97-4FFA-8AE0-F6D49B84DEBA}" type="presOf" srcId="{7301A26F-3746-49DD-99EB-8149AFBBA570}" destId="{9F6ED1DA-C06D-4712-8508-5A9B50381EA6}" srcOrd="0" destOrd="3" presId="urn:microsoft.com/office/officeart/2005/8/layout/hList1"/>
    <dgm:cxn modelId="{52B43849-3B66-4145-9A6D-B76DC6673FA3}" srcId="{5DF7C52D-799D-4287-99F5-3CF4A3F0D062}" destId="{3B8DAC50-AD37-43E5-A412-BB13CFEBD898}" srcOrd="0" destOrd="0" parTransId="{373049B8-8FD1-4912-B269-663C955B436C}" sibTransId="{8B2B0D35-1985-47FD-94D1-4268909C9C5D}"/>
    <dgm:cxn modelId="{DA033066-85A6-4229-BB72-9BDCAFDB03D7}" type="presOf" srcId="{3B8DAC50-AD37-43E5-A412-BB13CFEBD898}" destId="{00D0A43F-23B7-40D5-A95D-D84C26DD21FB}" srcOrd="0" destOrd="0" presId="urn:microsoft.com/office/officeart/2005/8/layout/hList1"/>
    <dgm:cxn modelId="{1B096FC7-79BC-46C5-BB79-2533CFF970E4}" srcId="{CF87ACB9-465A-4F37-9919-28733AA54323}" destId="{18325265-27AF-4FA0-B8B2-B96A5D5BC79A}" srcOrd="3" destOrd="0" parTransId="{4FFC08BC-B338-4356-9ACE-AE9C45BBBD7A}" sibTransId="{B3214BA7-3B4B-4106-A5CE-7052FE8C3F5D}"/>
    <dgm:cxn modelId="{88C3F6B1-DC59-42C0-87E9-EFD9D00602F5}" srcId="{18325265-27AF-4FA0-B8B2-B96A5D5BC79A}" destId="{2E22EC7A-8C30-481C-8AA2-2274D996A93E}" srcOrd="2" destOrd="0" parTransId="{4F395547-1006-457A-8A83-F029A447527E}" sibTransId="{341ACEF8-D2E1-4637-987E-884EB00A2E83}"/>
    <dgm:cxn modelId="{E750B92E-2F96-48AF-9244-71BE2E4399CE}" srcId="{373FBF1C-2D8A-4BFB-9896-F09075330EF3}" destId="{336DF89D-632B-438B-B5E7-C084AD1DE718}" srcOrd="0" destOrd="0" parTransId="{DB2B6593-523C-457F-BA1B-7288B8893710}" sibTransId="{26332D23-137C-4216-AC18-0F57D9C9E73F}"/>
    <dgm:cxn modelId="{E4BA5457-F4FB-4CAE-A073-5EA12929E4E3}" type="presOf" srcId="{336DF89D-632B-438B-B5E7-C084AD1DE718}" destId="{3EED9A7B-D43A-4F56-87CD-F1C1411E94B9}" srcOrd="0" destOrd="0" presId="urn:microsoft.com/office/officeart/2005/8/layout/hList1"/>
    <dgm:cxn modelId="{9C3EEC03-5268-4500-B8D4-E96F940FD08D}" srcId="{33D215F5-C357-4127-B5AD-A3F4B347BC45}" destId="{8B84465F-8BA4-4CC2-8A4D-3AB429AA07D2}" srcOrd="1" destOrd="0" parTransId="{3BB82799-D2B7-4893-8027-10C205A4C442}" sibTransId="{096F3E07-FD3A-4EFC-B7E6-C3305BF35227}"/>
    <dgm:cxn modelId="{D6E25D42-F822-4E3D-9973-BB3F3C699CAC}" type="presOf" srcId="{59CA3135-AD13-4675-8AC9-BB13A5628149}" destId="{DABE2C0B-C977-4F10-89D8-36DFD8CB894E}" srcOrd="0" destOrd="2" presId="urn:microsoft.com/office/officeart/2005/8/layout/hList1"/>
    <dgm:cxn modelId="{E9D90F55-CDF6-45AC-B7BB-782904AAAFCC}" type="presOf" srcId="{5B6A8109-9207-41A7-88FF-45478DE5E26C}" destId="{DABE2C0B-C977-4F10-89D8-36DFD8CB894E}" srcOrd="0" destOrd="0" presId="urn:microsoft.com/office/officeart/2005/8/layout/hList1"/>
    <dgm:cxn modelId="{9E29B897-8523-44A0-9157-518BA8C0DC5A}" type="presParOf" srcId="{94DF942E-06D9-4274-9393-64AAFE82747D}" destId="{09DEBB6C-C1CA-4FFC-A058-AF58885F64DB}" srcOrd="0" destOrd="0" presId="urn:microsoft.com/office/officeart/2005/8/layout/hList1"/>
    <dgm:cxn modelId="{4D979544-AD58-4E5D-A61A-6927FB2F9719}" type="presParOf" srcId="{09DEBB6C-C1CA-4FFC-A058-AF58885F64DB}" destId="{CA7A9323-155D-4F53-B9FB-062D8ACFDE4A}" srcOrd="0" destOrd="0" presId="urn:microsoft.com/office/officeart/2005/8/layout/hList1"/>
    <dgm:cxn modelId="{73D3C605-DCDA-4DAD-8983-7498E8A39BBE}" type="presParOf" srcId="{09DEBB6C-C1CA-4FFC-A058-AF58885F64DB}" destId="{00D0A43F-23B7-40D5-A95D-D84C26DD21FB}" srcOrd="1" destOrd="0" presId="urn:microsoft.com/office/officeart/2005/8/layout/hList1"/>
    <dgm:cxn modelId="{DD28B51A-8B1F-4B57-90F4-1A7327AE42C1}" type="presParOf" srcId="{94DF942E-06D9-4274-9393-64AAFE82747D}" destId="{8028256D-CFA4-4530-8279-8C97E2E66B31}" srcOrd="1" destOrd="0" presId="urn:microsoft.com/office/officeart/2005/8/layout/hList1"/>
    <dgm:cxn modelId="{EB3B2820-8D4F-4B11-90E7-0F7BF8E249B2}" type="presParOf" srcId="{94DF942E-06D9-4274-9393-64AAFE82747D}" destId="{8F6D3832-F07D-42B1-85D3-05A74E055D22}" srcOrd="2" destOrd="0" presId="urn:microsoft.com/office/officeart/2005/8/layout/hList1"/>
    <dgm:cxn modelId="{968BB368-8E0C-4E63-BE2C-878FC3390F61}" type="presParOf" srcId="{8F6D3832-F07D-42B1-85D3-05A74E055D22}" destId="{876975B5-BB35-46C6-9B4F-7B70CA6C95B1}" srcOrd="0" destOrd="0" presId="urn:microsoft.com/office/officeart/2005/8/layout/hList1"/>
    <dgm:cxn modelId="{9B9D303B-AFAF-4F65-890C-5E899313AEEF}" type="presParOf" srcId="{8F6D3832-F07D-42B1-85D3-05A74E055D22}" destId="{3EED9A7B-D43A-4F56-87CD-F1C1411E94B9}" srcOrd="1" destOrd="0" presId="urn:microsoft.com/office/officeart/2005/8/layout/hList1"/>
    <dgm:cxn modelId="{1AEDB228-ACA4-4735-A8F8-58280F13800D}" type="presParOf" srcId="{94DF942E-06D9-4274-9393-64AAFE82747D}" destId="{18773D3F-63B7-4816-81EE-AE5E0347569D}" srcOrd="3" destOrd="0" presId="urn:microsoft.com/office/officeart/2005/8/layout/hList1"/>
    <dgm:cxn modelId="{75FF671A-FA47-43FF-965C-50A5CFBF271F}" type="presParOf" srcId="{94DF942E-06D9-4274-9393-64AAFE82747D}" destId="{9AFD62B8-9D4B-48F0-8E32-C633C2FD7F66}" srcOrd="4" destOrd="0" presId="urn:microsoft.com/office/officeart/2005/8/layout/hList1"/>
    <dgm:cxn modelId="{E0C4D50F-5BB9-4264-AE67-A9826883C1E4}" type="presParOf" srcId="{9AFD62B8-9D4B-48F0-8E32-C633C2FD7F66}" destId="{09ECC79E-E743-4B62-A878-BB189C4BBA74}" srcOrd="0" destOrd="0" presId="urn:microsoft.com/office/officeart/2005/8/layout/hList1"/>
    <dgm:cxn modelId="{523B9FE2-0C0B-48D2-A0CC-0307A0AB1EF9}" type="presParOf" srcId="{9AFD62B8-9D4B-48F0-8E32-C633C2FD7F66}" destId="{DABE2C0B-C977-4F10-89D8-36DFD8CB894E}" srcOrd="1" destOrd="0" presId="urn:microsoft.com/office/officeart/2005/8/layout/hList1"/>
    <dgm:cxn modelId="{58638521-EE65-438B-98D1-32606E067B90}" type="presParOf" srcId="{94DF942E-06D9-4274-9393-64AAFE82747D}" destId="{462ACE44-CFE3-4160-9535-95EF9D3503B6}" srcOrd="5" destOrd="0" presId="urn:microsoft.com/office/officeart/2005/8/layout/hList1"/>
    <dgm:cxn modelId="{C3EA16F2-CCB8-4B79-AECD-FCD8E0D791D6}" type="presParOf" srcId="{94DF942E-06D9-4274-9393-64AAFE82747D}" destId="{DFEF04D3-E4E8-46DA-B3C5-0C7C55E77F85}" srcOrd="6" destOrd="0" presId="urn:microsoft.com/office/officeart/2005/8/layout/hList1"/>
    <dgm:cxn modelId="{7FDC8783-BC57-4A10-9ED4-EE9BFD047FD4}" type="presParOf" srcId="{DFEF04D3-E4E8-46DA-B3C5-0C7C55E77F85}" destId="{2523B90E-B79B-40FE-BE81-839BF61B72D6}" srcOrd="0" destOrd="0" presId="urn:microsoft.com/office/officeart/2005/8/layout/hList1"/>
    <dgm:cxn modelId="{FB33A48C-5229-472F-980D-F36DB86670E4}" type="presParOf" srcId="{DFEF04D3-E4E8-46DA-B3C5-0C7C55E77F85}" destId="{9F6ED1DA-C06D-4712-8508-5A9B50381EA6}" srcOrd="1" destOrd="0" presId="urn:microsoft.com/office/officeart/2005/8/layout/hList1"/>
    <dgm:cxn modelId="{89C26D0C-1BB5-4BD3-9C3F-528F85BBACB8}" type="presParOf" srcId="{94DF942E-06D9-4274-9393-64AAFE82747D}" destId="{66F8403A-4A5F-4573-AFE1-57D313290972}" srcOrd="7" destOrd="0" presId="urn:microsoft.com/office/officeart/2005/8/layout/hList1"/>
    <dgm:cxn modelId="{6BD1E6C4-901A-483B-A3B1-74E0C6A579BC}" type="presParOf" srcId="{94DF942E-06D9-4274-9393-64AAFE82747D}" destId="{ACCC663F-4C1F-403D-9FBD-57CB706A6761}" srcOrd="8" destOrd="0" presId="urn:microsoft.com/office/officeart/2005/8/layout/hList1"/>
    <dgm:cxn modelId="{A2472FB0-6161-45F3-8CBF-07CC47661F23}" type="presParOf" srcId="{ACCC663F-4C1F-403D-9FBD-57CB706A6761}" destId="{429AE7DD-B4E6-4D79-9425-CC8428021BE7}" srcOrd="0" destOrd="0" presId="urn:microsoft.com/office/officeart/2005/8/layout/hList1"/>
    <dgm:cxn modelId="{AE157C25-64F5-4E0D-B79A-546870CA6098}" type="presParOf" srcId="{ACCC663F-4C1F-403D-9FBD-57CB706A6761}" destId="{9DC66CB8-4B52-4F1F-B0E3-78E627F4E163}"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A9323-155D-4F53-B9FB-062D8ACFDE4A}">
      <dsp:nvSpPr>
        <dsp:cNvPr id="0" name=""/>
        <dsp:cNvSpPr/>
      </dsp:nvSpPr>
      <dsp:spPr>
        <a:xfrm>
          <a:off x="225020" y="303020"/>
          <a:ext cx="1308954" cy="3980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t-EE" sz="1100" kern="1200"/>
            <a:t>Seadusandlik ja poliitiline keskkond</a:t>
          </a:r>
        </a:p>
      </dsp:txBody>
      <dsp:txXfrm>
        <a:off x="225020" y="303020"/>
        <a:ext cx="1308954" cy="398023"/>
      </dsp:txXfrm>
    </dsp:sp>
    <dsp:sp modelId="{00D0A43F-23B7-40D5-A95D-D84C26DD21FB}">
      <dsp:nvSpPr>
        <dsp:cNvPr id="0" name=""/>
        <dsp:cNvSpPr/>
      </dsp:nvSpPr>
      <dsp:spPr>
        <a:xfrm>
          <a:off x="214131" y="684534"/>
          <a:ext cx="1311884" cy="143143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t-EE" sz="1100" kern="1200"/>
            <a:t>Kehtivad õigusaktid</a:t>
          </a:r>
        </a:p>
        <a:p>
          <a:pPr marL="57150" lvl="1" indent="-57150" algn="l" defTabSz="488950">
            <a:lnSpc>
              <a:spcPct val="90000"/>
            </a:lnSpc>
            <a:spcBef>
              <a:spcPct val="0"/>
            </a:spcBef>
            <a:spcAft>
              <a:spcPct val="15000"/>
            </a:spcAft>
            <a:buChar char="••"/>
          </a:pPr>
          <a:r>
            <a:rPr lang="et-EE" sz="1100" kern="1200"/>
            <a:t>EL ja rahvusvahelised õigusaktid ja suundumused</a:t>
          </a:r>
        </a:p>
      </dsp:txBody>
      <dsp:txXfrm>
        <a:off x="214131" y="684534"/>
        <a:ext cx="1311884" cy="1431435"/>
      </dsp:txXfrm>
    </dsp:sp>
    <dsp:sp modelId="{876975B5-BB35-46C6-9B4F-7B70CA6C95B1}">
      <dsp:nvSpPr>
        <dsp:cNvPr id="0" name=""/>
        <dsp:cNvSpPr/>
      </dsp:nvSpPr>
      <dsp:spPr>
        <a:xfrm>
          <a:off x="1611323" y="288916"/>
          <a:ext cx="1157762" cy="3980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t-EE" sz="1100" kern="1200"/>
            <a:t>Majanduslik keskkond</a:t>
          </a:r>
        </a:p>
      </dsp:txBody>
      <dsp:txXfrm>
        <a:off x="1611323" y="288916"/>
        <a:ext cx="1157762" cy="398023"/>
      </dsp:txXfrm>
    </dsp:sp>
    <dsp:sp modelId="{3EED9A7B-D43A-4F56-87CD-F1C1411E94B9}">
      <dsp:nvSpPr>
        <dsp:cNvPr id="0" name=""/>
        <dsp:cNvSpPr/>
      </dsp:nvSpPr>
      <dsp:spPr>
        <a:xfrm>
          <a:off x="1623444" y="692107"/>
          <a:ext cx="1157762" cy="139093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t-EE" sz="1100" kern="1200"/>
            <a:t>IKT mõju majanduse arengule</a:t>
          </a:r>
        </a:p>
        <a:p>
          <a:pPr marL="57150" lvl="1" indent="-57150" algn="l" defTabSz="488950">
            <a:lnSpc>
              <a:spcPct val="90000"/>
            </a:lnSpc>
            <a:spcBef>
              <a:spcPct val="0"/>
            </a:spcBef>
            <a:spcAft>
              <a:spcPct val="15000"/>
            </a:spcAft>
            <a:buChar char="••"/>
          </a:pPr>
          <a:r>
            <a:rPr lang="et-EE" sz="1100" kern="1200"/>
            <a:t>Töövormide muutumine </a:t>
          </a:r>
        </a:p>
      </dsp:txBody>
      <dsp:txXfrm>
        <a:off x="1623444" y="692107"/>
        <a:ext cx="1157762" cy="1390939"/>
      </dsp:txXfrm>
    </dsp:sp>
    <dsp:sp modelId="{09ECC79E-E743-4B62-A878-BB189C4BBA74}">
      <dsp:nvSpPr>
        <dsp:cNvPr id="0" name=""/>
        <dsp:cNvSpPr/>
      </dsp:nvSpPr>
      <dsp:spPr>
        <a:xfrm>
          <a:off x="2904183" y="290522"/>
          <a:ext cx="1343965" cy="3980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t-EE" sz="1100" kern="1200"/>
            <a:t>Sotsiaalne keskkond</a:t>
          </a:r>
        </a:p>
      </dsp:txBody>
      <dsp:txXfrm>
        <a:off x="2904183" y="290522"/>
        <a:ext cx="1343965" cy="398023"/>
      </dsp:txXfrm>
    </dsp:sp>
    <dsp:sp modelId="{DABE2C0B-C977-4F10-89D8-36DFD8CB894E}">
      <dsp:nvSpPr>
        <dsp:cNvPr id="0" name=""/>
        <dsp:cNvSpPr/>
      </dsp:nvSpPr>
      <dsp:spPr>
        <a:xfrm>
          <a:off x="2893873" y="688546"/>
          <a:ext cx="1364585" cy="141170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t-EE" sz="1100" kern="1200"/>
            <a:t>Hariduse ja karjääri trendid</a:t>
          </a:r>
        </a:p>
        <a:p>
          <a:pPr marL="57150" lvl="1" indent="-57150" algn="l" defTabSz="488950">
            <a:lnSpc>
              <a:spcPct val="90000"/>
            </a:lnSpc>
            <a:spcBef>
              <a:spcPct val="0"/>
            </a:spcBef>
            <a:spcAft>
              <a:spcPct val="15000"/>
            </a:spcAft>
            <a:buChar char="••"/>
          </a:pPr>
          <a:r>
            <a:rPr lang="et-EE" sz="1100" kern="1200"/>
            <a:t>Ränne</a:t>
          </a:r>
        </a:p>
        <a:p>
          <a:pPr marL="57150" lvl="1" indent="-57150" algn="l" defTabSz="488950">
            <a:lnSpc>
              <a:spcPct val="90000"/>
            </a:lnSpc>
            <a:spcBef>
              <a:spcPct val="0"/>
            </a:spcBef>
            <a:spcAft>
              <a:spcPct val="15000"/>
            </a:spcAft>
            <a:buChar char="••"/>
          </a:pPr>
          <a:r>
            <a:rPr lang="et-EE" sz="1100" kern="1200"/>
            <a:t>Regionaalareng</a:t>
          </a:r>
        </a:p>
        <a:p>
          <a:pPr marL="57150" lvl="1" indent="-57150" algn="l" defTabSz="488950">
            <a:lnSpc>
              <a:spcPct val="90000"/>
            </a:lnSpc>
            <a:spcBef>
              <a:spcPct val="0"/>
            </a:spcBef>
            <a:spcAft>
              <a:spcPct val="15000"/>
            </a:spcAft>
            <a:buChar char="••"/>
          </a:pPr>
          <a:r>
            <a:rPr lang="et-EE" sz="1100" kern="1200"/>
            <a:t>Rahvastiku muutumine</a:t>
          </a:r>
        </a:p>
      </dsp:txBody>
      <dsp:txXfrm>
        <a:off x="2893873" y="688546"/>
        <a:ext cx="1364585" cy="1411705"/>
      </dsp:txXfrm>
    </dsp:sp>
    <dsp:sp modelId="{2523B90E-B79B-40FE-BE81-839BF61B72D6}">
      <dsp:nvSpPr>
        <dsp:cNvPr id="0" name=""/>
        <dsp:cNvSpPr/>
      </dsp:nvSpPr>
      <dsp:spPr>
        <a:xfrm>
          <a:off x="4383257" y="290522"/>
          <a:ext cx="1157762" cy="3980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t-EE" sz="1100" kern="1200"/>
            <a:t>Tehnoloogiline keskkond</a:t>
          </a:r>
        </a:p>
      </dsp:txBody>
      <dsp:txXfrm>
        <a:off x="4383257" y="290522"/>
        <a:ext cx="1157762" cy="398023"/>
      </dsp:txXfrm>
    </dsp:sp>
    <dsp:sp modelId="{9F6ED1DA-C06D-4712-8508-5A9B50381EA6}">
      <dsp:nvSpPr>
        <dsp:cNvPr id="0" name=""/>
        <dsp:cNvSpPr/>
      </dsp:nvSpPr>
      <dsp:spPr>
        <a:xfrm>
          <a:off x="4383257" y="688546"/>
          <a:ext cx="1157762" cy="141170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t-EE" sz="1100" kern="1200"/>
            <a:t>Interneti kättesaadavus</a:t>
          </a:r>
        </a:p>
        <a:p>
          <a:pPr marL="57150" lvl="1" indent="-57150" algn="l" defTabSz="488950">
            <a:lnSpc>
              <a:spcPct val="90000"/>
            </a:lnSpc>
            <a:spcBef>
              <a:spcPct val="0"/>
            </a:spcBef>
            <a:spcAft>
              <a:spcPct val="15000"/>
            </a:spcAft>
            <a:buChar char="••"/>
          </a:pPr>
          <a:r>
            <a:rPr lang="et-EE" sz="1100" kern="1200"/>
            <a:t>Uued tehnoloogiad</a:t>
          </a:r>
        </a:p>
        <a:p>
          <a:pPr marL="57150" lvl="1" indent="-57150" algn="l" defTabSz="488950">
            <a:lnSpc>
              <a:spcPct val="90000"/>
            </a:lnSpc>
            <a:spcBef>
              <a:spcPct val="0"/>
            </a:spcBef>
            <a:spcAft>
              <a:spcPct val="15000"/>
            </a:spcAft>
            <a:buChar char="••"/>
          </a:pPr>
          <a:r>
            <a:rPr lang="et-EE" sz="1100" kern="1200"/>
            <a:t>Infoühiskonna areng</a:t>
          </a:r>
        </a:p>
        <a:p>
          <a:pPr marL="57150" lvl="1" indent="-57150" algn="l" defTabSz="488950">
            <a:lnSpc>
              <a:spcPct val="90000"/>
            </a:lnSpc>
            <a:spcBef>
              <a:spcPct val="0"/>
            </a:spcBef>
            <a:spcAft>
              <a:spcPct val="15000"/>
            </a:spcAft>
            <a:buChar char="••"/>
          </a:pPr>
          <a:r>
            <a:rPr lang="et-EE" sz="1100" kern="1200"/>
            <a:t>Küberkuritegevus</a:t>
          </a:r>
        </a:p>
      </dsp:txBody>
      <dsp:txXfrm>
        <a:off x="4383257" y="688546"/>
        <a:ext cx="1157762" cy="1411705"/>
      </dsp:txXfrm>
    </dsp:sp>
    <dsp:sp modelId="{429AE7DD-B4E6-4D79-9425-CC8428021BE7}">
      <dsp:nvSpPr>
        <dsp:cNvPr id="0" name=""/>
        <dsp:cNvSpPr/>
      </dsp:nvSpPr>
      <dsp:spPr>
        <a:xfrm>
          <a:off x="5646160" y="290522"/>
          <a:ext cx="1157762" cy="3980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t-EE" sz="1100" kern="1200"/>
            <a:t>Ökoloogiline keskkond</a:t>
          </a:r>
        </a:p>
      </dsp:txBody>
      <dsp:txXfrm>
        <a:off x="5646160" y="290522"/>
        <a:ext cx="1157762" cy="398023"/>
      </dsp:txXfrm>
    </dsp:sp>
    <dsp:sp modelId="{9DC66CB8-4B52-4F1F-B0E3-78E627F4E163}">
      <dsp:nvSpPr>
        <dsp:cNvPr id="0" name=""/>
        <dsp:cNvSpPr/>
      </dsp:nvSpPr>
      <dsp:spPr>
        <a:xfrm>
          <a:off x="5636632" y="709877"/>
          <a:ext cx="1157762" cy="141170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t-EE" sz="1100" kern="1200"/>
            <a:t>Jätkusuutliku elukeskkonna loomine</a:t>
          </a:r>
        </a:p>
        <a:p>
          <a:pPr marL="57150" lvl="1" indent="-57150" algn="l" defTabSz="488950">
            <a:lnSpc>
              <a:spcPct val="90000"/>
            </a:lnSpc>
            <a:spcBef>
              <a:spcPct val="0"/>
            </a:spcBef>
            <a:spcAft>
              <a:spcPct val="15000"/>
            </a:spcAft>
            <a:buChar char="••"/>
          </a:pPr>
          <a:endParaRPr lang="et-EE" sz="1100" kern="1200"/>
        </a:p>
        <a:p>
          <a:pPr marL="57150" lvl="1" indent="-57150" algn="l" defTabSz="488950">
            <a:lnSpc>
              <a:spcPct val="90000"/>
            </a:lnSpc>
            <a:spcBef>
              <a:spcPct val="0"/>
            </a:spcBef>
            <a:spcAft>
              <a:spcPct val="15000"/>
            </a:spcAft>
            <a:buChar char="••"/>
          </a:pPr>
          <a:endParaRPr lang="et-EE" sz="1100" kern="1200"/>
        </a:p>
      </dsp:txBody>
      <dsp:txXfrm>
        <a:off x="5636632" y="709877"/>
        <a:ext cx="1157762" cy="141170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940E-83A8-4BFE-843F-509A8179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13</Pages>
  <Words>3232</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Kaasik</dc:creator>
  <cp:keywords/>
  <dc:description/>
  <cp:lastModifiedBy>Ursula Kaasik</cp:lastModifiedBy>
  <cp:revision>21</cp:revision>
  <dcterms:created xsi:type="dcterms:W3CDTF">2018-05-09T12:04:00Z</dcterms:created>
  <dcterms:modified xsi:type="dcterms:W3CDTF">2018-05-10T13:57:00Z</dcterms:modified>
</cp:coreProperties>
</file>